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PERSONAL DATA PROTECTION POLICY</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Appointing at least one Data Protection Officer is mandatory, and the officer’s business contact information must be made available to the public. Data breach notification has been mandatory since 2021. A policy that describes principles without naming an officer, without a breach procedure and without a retention schedule addresses none of the three things most likely to be asked about.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Organisation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Data Protection Officer</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DPO contact — published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r>
              <w:rPr>
                <w:rFonts w:ascii="Calibri" w:cs="Calibri" w:eastAsia="Calibri" w:hAnsi="Calibri"/>
                <w:sz w:val="19"/>
                <w:szCs w:val="19"/>
              </w:rPr>
              <w:t xml:space="preserve">, </w:t>
            </w:r>
            <w:r>
              <w:rPr>
                <w:rFonts w:ascii="Calibri" w:cs="Calibri" w:eastAsia="Calibri" w:hAnsi="Calibri"/>
                <w:b/>
                <w:bCs/>
                <w:sz w:val="19"/>
                <w:szCs w:val="19"/>
              </w:rPr>
              <w:t xml:space="preserve">[PHONE]</w:t>
            </w:r>
            <w:r>
              <w:rPr>
                <w:rFonts w:ascii="Calibri" w:cs="Calibri" w:eastAsia="Calibri" w:hAnsi="Calibri"/>
                <w:sz w:val="19"/>
                <w:szCs w:val="19"/>
              </w:rPr>
              <w:t xml:space="preserve">, </w:t>
            </w:r>
            <w:r>
              <w:rPr>
                <w:rFonts w:ascii="Calibri" w:cs="Calibri" w:eastAsia="Calibri" w:hAnsi="Calibri"/>
                <w:b/>
                <w:bCs/>
                <w:sz w:val="19"/>
                <w:szCs w:val="19"/>
              </w:rPr>
              <w:t xml:space="preserve">[POSTAL ADDRESS]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Deputy or alternate DPO</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[EMAIL]</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Effective from</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Applies to</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All employees, contractors and anyone handling personal data for the Company</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Annually, and on any material change to processing</w:t>
            </w:r>
          </w:p>
        </w:tc>
      </w:tr>
    </w:tbl>
    <w:p>
      <w:pPr>
        <w:spacing w:after="180"/>
      </w:pPr>
    </w:p>
    <w:p>
      <w:pPr>
        <w:keepNext/>
        <w:spacing w:after="120" w:before="280"/>
        <w:outlineLvl w:val="0"/>
      </w:pPr>
      <w:r>
        <w:rPr>
          <w:rFonts w:ascii="Calibri" w:cs="Calibri" w:eastAsia="Calibri" w:hAnsi="Calibri"/>
          <w:b/>
          <w:bCs/>
          <w:color w:val="14161B"/>
          <w:sz w:val="22"/>
          <w:szCs w:val="22"/>
        </w:rPr>
        <w:t xml:space="preserve">1. SCOPE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This policy applies to all personal data the Company collects, uses, discloses or cares for, whether about customers, employees, job applicants, suppliers, visitors or any other individual.</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w:t>
      </w:r>
      <w:r>
        <w:rPr>
          <w:rFonts w:ascii="Calibri" w:cs="Calibri" w:eastAsia="Calibri" w:hAnsi="Calibri"/>
          <w:b/>
          <w:bCs/>
          <w:sz w:val="21"/>
          <w:szCs w:val="21"/>
        </w:rPr>
        <w:t xml:space="preserve">Personal data</w:t>
      </w:r>
      <w:r>
        <w:rPr>
          <w:rFonts w:ascii="Calibri" w:cs="Calibri" w:eastAsia="Calibri" w:hAnsi="Calibri"/>
          <w:sz w:val="21"/>
          <w:szCs w:val="21"/>
        </w:rPr>
        <w:t xml:space="preserve">" means data about an individual who can be identified from that data, or from that data and other information the Company has or is likely to have access to, whether or not the data is true.</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This policy applies to data in any form, including electronic records, paper records, images, recordings and data held by third parties on the Company’s behalf.</w:t>
      </w:r>
    </w:p>
    <w:p>
      <w:pPr>
        <w:keepNext/>
        <w:spacing w:after="120" w:before="280"/>
        <w:outlineLvl w:val="0"/>
      </w:pPr>
      <w:r>
        <w:rPr>
          <w:rFonts w:ascii="Calibri" w:cs="Calibri" w:eastAsia="Calibri" w:hAnsi="Calibri"/>
          <w:b/>
          <w:bCs/>
          <w:color w:val="14161B"/>
          <w:sz w:val="22"/>
          <w:szCs w:val="22"/>
        </w:rPr>
        <w:t xml:space="preserve">2. THE OBLIGATIONS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Obligation</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it requires of us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Consent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Collect, use or disclose personal data only with consent, or where an exception applies. Consent must be given voluntarily and cannot be a condition of a service beyond what is reasonable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Purpose limitation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Only for purposes a reasonable person would consider appropriate, and that have been notified</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Notification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Inform the individual of the purposes before or at collection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Access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request, provide the personal data held and information on how it has been used or disclosed</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Correction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request, correct an error or omission, and send the correction to organisations the data was disclosed to</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Accuracy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Make reasonable effort to ensure data is accurate and complete where it will be used to make a decision affecting the individual or disclosed</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Protection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Make reasonable security arrangements to prevent unauthorised access, collection, use, disclosure, copying, modification or disposal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Retention limitation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Cease to retain data when the purpose has ended and retention is no longer necessary for legal or business purposes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Transfer limitation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Transfer outside Singapore only where the recipient is bound by a comparable standard of protection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Accountability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Appoint a Data Protection Officer, publish their contact, implement policies and practices, and be able to demonstrate compliance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Data breach notification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Assess and, where the threshold is met, notify the Commission and affected individuals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Data portability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in force, transmit specified data to another organisation at the individual’s request</w:t>
            </w:r>
          </w:p>
        </w:tc>
      </w:tr>
    </w:tbl>
    <w:p>
      <w:pPr>
        <w:spacing w:after="160"/>
      </w:pPr>
    </w:p>
    <w:p>
      <w:pPr>
        <w:keepNext/>
        <w:spacing w:after="120" w:before="280"/>
        <w:outlineLvl w:val="0"/>
      </w:pPr>
      <w:r>
        <w:rPr>
          <w:rFonts w:ascii="Calibri" w:cs="Calibri" w:eastAsia="Calibri" w:hAnsi="Calibri"/>
          <w:b/>
          <w:bCs/>
          <w:color w:val="14161B"/>
          <w:sz w:val="22"/>
          <w:szCs w:val="22"/>
        </w:rPr>
        <w:t xml:space="preserve">3. DATA PROTECTION OFFICER</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Company has appointed a Data Protection Officer, whose business contact information is set out above and published at </w:t>
      </w:r>
      <w:r>
        <w:rPr>
          <w:rFonts w:ascii="Calibri" w:cs="Calibri" w:eastAsia="Calibri" w:hAnsi="Calibri"/>
          <w:b/>
          <w:bCs/>
          <w:sz w:val="21"/>
          <w:szCs w:val="21"/>
        </w:rPr>
        <w:t xml:space="preserve">[LOCATION — website privacy page]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Officer is responsible for ensuring compliance, developing and reviewing policies, handling access and correction requests, handling complaints, leading breach assessment and notification, and acting as the contact point for the Commission.</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Officer has the authority and resources to carry out the role, and direct access to </w:t>
      </w:r>
      <w:r>
        <w:rPr>
          <w:rFonts w:ascii="Calibri" w:cs="Calibri" w:eastAsia="Calibri" w:hAnsi="Calibri"/>
          <w:b/>
          <w:bCs/>
          <w:sz w:val="21"/>
          <w:szCs w:val="21"/>
        </w:rPr>
        <w:t xml:space="preserve">[the Board / senior management]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A deputy is named so that requests and breach reports are not delayed by absence.</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i/>
          <w:iCs/>
          <w:sz w:val="21"/>
          <w:szCs w:val="21"/>
        </w:rPr>
        <w:t xml:space="preserve">The role may be held by an existing employee alongside other duties, or outsourced, but it must be filled and the contact must be published — a generic enquiries address that nobody monitors does not satisfy the requirement.</w:t>
      </w:r>
    </w:p>
    <w:p>
      <w:pPr>
        <w:keepNext/>
        <w:spacing w:after="120" w:before="280"/>
        <w:outlineLvl w:val="0"/>
      </w:pPr>
      <w:r>
        <w:rPr>
          <w:rFonts w:ascii="Calibri" w:cs="Calibri" w:eastAsia="Calibri" w:hAnsi="Calibri"/>
          <w:b/>
          <w:bCs/>
          <w:color w:val="14161B"/>
          <w:sz w:val="22"/>
          <w:szCs w:val="22"/>
        </w:rPr>
        <w:t xml:space="preserve">4. COLLECTION, USE AND DISCLOSURE</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Before or at the point of collection, the Company will inform individuals of the purposes for which their data will be collected, used and disclosed.</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Company will collect only what is needed for those purposes.</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Where consent is relied on, it will be obtained clearly and separately from other terms, and individuals will be told how to withdraw it. </w:t>
      </w:r>
      <w:r>
        <w:rPr>
          <w:rFonts w:ascii="Calibri" w:cs="Calibri" w:eastAsia="Calibri" w:hAnsi="Calibri"/>
          <w:b/>
          <w:bCs/>
          <w:sz w:val="21"/>
          <w:szCs w:val="21"/>
        </w:rPr>
        <w:t xml:space="preserve">Consent will not be obtained by requiring it as a condition of providing a service beyond what is reasonably required to provide that service.</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Where an exception is relied on instead of consent — including legitimate interests, business improvement, or other permitted grounds — the basis will be identified and, where required, an assessment carried out and documented before relying on it.</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Individuals may withdraw consent on reasonable notice. The Company will inform them of the likely consequences and will cease the relevant processing.</w:t>
      </w:r>
    </w:p>
    <w:p>
      <w:pPr>
        <w:keepNext/>
        <w:spacing w:after="120" w:before="280"/>
        <w:outlineLvl w:val="0"/>
      </w:pPr>
      <w:r>
        <w:rPr>
          <w:rFonts w:ascii="Calibri" w:cs="Calibri" w:eastAsia="Calibri" w:hAnsi="Calibri"/>
          <w:b/>
          <w:bCs/>
          <w:color w:val="14161B"/>
          <w:sz w:val="22"/>
          <w:szCs w:val="22"/>
        </w:rPr>
        <w:t xml:space="preserve">5. EMPLOYEE AND APPLICANT DATA</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Personal data of employees is collected and used for purposes reasonable for managing the employment relationship, including payroll, statutory contributions and filings, benefits, performance management, workplace safety and discipline.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Employees will be given an employee privacy notice at induction describing what is collected, why, who it is shared with, how long it is kept and how to raise a concern.</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Applicant data will be retained for </w:t>
      </w:r>
      <w:r>
        <w:rPr>
          <w:rFonts w:ascii="Calibri" w:cs="Calibri" w:eastAsia="Calibri" w:hAnsi="Calibri"/>
          <w:b/>
          <w:bCs/>
          <w:sz w:val="21"/>
          <w:szCs w:val="21"/>
        </w:rPr>
        <w:t xml:space="preserve">[NUMBER]</w:t>
      </w:r>
      <w:r>
        <w:rPr>
          <w:rFonts w:ascii="Calibri" w:cs="Calibri" w:eastAsia="Calibri" w:hAnsi="Calibri"/>
          <w:sz w:val="21"/>
          <w:szCs w:val="21"/>
        </w:rPr>
        <w:t xml:space="preserve"> months where the applicant is unsuccessful, and then securely disposed of, unless the applicant has consented to retention for future opportunities.</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Background checks will be proportionate to the role, conducted with consent, and limited to what is necessary.</w:t>
      </w:r>
    </w:p>
    <w:p>
      <w:pPr>
        <w:keepNext/>
        <w:spacing w:after="120" w:before="280"/>
        <w:outlineLvl w:val="0"/>
      </w:pPr>
      <w:r>
        <w:rPr>
          <w:rFonts w:ascii="Calibri" w:cs="Calibri" w:eastAsia="Calibri" w:hAnsi="Calibri"/>
          <w:b/>
          <w:bCs/>
          <w:color w:val="14161B"/>
          <w:sz w:val="22"/>
          <w:szCs w:val="22"/>
        </w:rPr>
        <w:t xml:space="preserve">6. PROTECTION</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Company will implement reasonable security arrangements, including access control on a need-to-know basis, encryption of data in transit and at rest where appropriate, secure disposal of physical and electronic records, device and endpoint controls, and logging of access to sensitive data.</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Access to personal data will be granted by role and reviewed </w:t>
      </w:r>
      <w:r>
        <w:rPr>
          <w:rFonts w:ascii="Calibri" w:cs="Calibri" w:eastAsia="Calibri" w:hAnsi="Calibri"/>
          <w:b/>
          <w:bCs/>
          <w:sz w:val="21"/>
          <w:szCs w:val="21"/>
        </w:rPr>
        <w:t xml:space="preserve">[quarterly]</w:t>
      </w:r>
      <w:r>
        <w:rPr>
          <w:rFonts w:ascii="Calibri" w:cs="Calibri" w:eastAsia="Calibri" w:hAnsi="Calibri"/>
          <w:sz w:val="21"/>
          <w:szCs w:val="21"/>
        </w:rPr>
        <w:t xml:space="preserve">, and revoked on the day a person leaves or changes role.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Employees will not transfer personal data to personal devices, personal cloud storage or personal email.</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All employees will complete data protection training at induction and at least annually.</w:t>
      </w:r>
    </w:p>
    <w:p>
      <w:pPr>
        <w:keepNext/>
        <w:spacing w:after="120" w:before="280"/>
        <w:outlineLvl w:val="0"/>
      </w:pPr>
      <w:r>
        <w:rPr>
          <w:rFonts w:ascii="Calibri" w:cs="Calibri" w:eastAsia="Calibri" w:hAnsi="Calibri"/>
          <w:b/>
          <w:bCs/>
          <w:color w:val="14161B"/>
          <w:sz w:val="22"/>
          <w:szCs w:val="22"/>
        </w:rPr>
        <w:t xml:space="preserve">7. RETENTION</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Company will cease to retain personal data, or remove the means by which it can be associated with an individual, when the purpose has ended and retention is no longer necessary for legal or business purposes.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2891"/>
        <w:gridCol w:w="3471"/>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Category</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Retention period</w:t>
            </w:r>
          </w:p>
        </w:tc>
        <w:tc>
          <w:tcPr>
            <w:tcW w:type="dxa" w:w="34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 records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Act record-keeping requirements and limitation periods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Payroll and contribution records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Statutory</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 records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Statutory</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Unsuccessful applicant data</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Business — handling any query about the decision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Customer records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Contractual and limitation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Marketing contacts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r>
              <w:rPr>
                <w:rFonts w:ascii="Calibri" w:cs="Calibri" w:eastAsia="Calibri" w:hAnsi="Calibri"/>
                <w:sz w:val="18"/>
                <w:szCs w:val="18"/>
              </w:rPr>
              <w:t xml:space="preserve"> or until consent withdrawn</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Consent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CCTV footage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Security</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[Other category]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w:t>
            </w:r>
          </w:p>
        </w:tc>
      </w:tr>
    </w:tbl>
    <w:p>
      <w:pPr>
        <w:spacing w:after="140"/>
      </w:pP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Disposal will be secure and irreversible. Deletion from a live system without addressing backups, archives and copies held by processors is not disposal.</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8. ACCESS AND CORRECTION REQUESTS</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Requests should be directed to the Data Protection Officer, and will be acknowledged within </w:t>
      </w:r>
      <w:r>
        <w:rPr>
          <w:rFonts w:ascii="Calibri" w:cs="Calibri" w:eastAsia="Calibri" w:hAnsi="Calibri"/>
          <w:b/>
          <w:bCs/>
          <w:sz w:val="21"/>
          <w:szCs w:val="21"/>
        </w:rPr>
        <w:t xml:space="preserve">[3]</w:t>
      </w:r>
      <w:r>
        <w:rPr>
          <w:rFonts w:ascii="Calibri" w:cs="Calibri" w:eastAsia="Calibri" w:hAnsi="Calibri"/>
          <w:b/>
          <w:bCs/>
          <w:sz w:val="21"/>
          <w:szCs w:val="21"/>
        </w:rPr>
        <w:t xml:space="preserve"> working days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Company will respond as soon as reasonably possible. Where it cannot respond within </w:t>
      </w:r>
      <w:r>
        <w:rPr>
          <w:rFonts w:ascii="Calibri" w:cs="Calibri" w:eastAsia="Calibri" w:hAnsi="Calibri"/>
          <w:b/>
          <w:bCs/>
          <w:sz w:val="21"/>
          <w:szCs w:val="21"/>
        </w:rPr>
        <w:t xml:space="preserve">30 days</w:t>
      </w:r>
      <w:r>
        <w:rPr>
          <w:rFonts w:ascii="Calibri" w:cs="Calibri" w:eastAsia="Calibri" w:hAnsi="Calibri"/>
          <w:sz w:val="21"/>
          <w:szCs w:val="21"/>
        </w:rPr>
        <w:t xml:space="preserve">, it will inform the individual of the time by which it will respond.</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The Company may charge a reasonable fee for an access request, notified in advance.</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The Company will not provide access where an exception applies, and will record the reason. Where correction is not made, the Company will annotate the data with the correction sought.</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A register of requests, dates and outcomes will be maintained.</w:t>
      </w:r>
    </w:p>
    <w:p>
      <w:pPr>
        <w:keepNext/>
        <w:spacing w:after="120" w:before="280"/>
        <w:outlineLvl w:val="0"/>
      </w:pPr>
      <w:r>
        <w:rPr>
          <w:rFonts w:ascii="Calibri" w:cs="Calibri" w:eastAsia="Calibri" w:hAnsi="Calibri"/>
          <w:b/>
          <w:bCs/>
          <w:color w:val="14161B"/>
          <w:sz w:val="22"/>
          <w:szCs w:val="22"/>
        </w:rPr>
        <w:t xml:space="preserve">9. DATA BREACH</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Any suspected breach must be reported </w:t>
      </w:r>
      <w:r>
        <w:rPr>
          <w:rFonts w:ascii="Calibri" w:cs="Calibri" w:eastAsia="Calibri" w:hAnsi="Calibri"/>
          <w:b/>
          <w:bCs/>
          <w:sz w:val="21"/>
          <w:szCs w:val="21"/>
        </w:rPr>
        <w:t xml:space="preserve">immediately</w:t>
      </w:r>
      <w:r>
        <w:rPr>
          <w:rFonts w:ascii="Calibri" w:cs="Calibri" w:eastAsia="Calibri" w:hAnsi="Calibri"/>
          <w:sz w:val="21"/>
          <w:szCs w:val="21"/>
        </w:rPr>
        <w:t xml:space="preserve"> to the Data Protection Officer at </w:t>
      </w:r>
      <w:r>
        <w:rPr>
          <w:rFonts w:ascii="Calibri" w:cs="Calibri" w:eastAsia="Calibri" w:hAnsi="Calibri"/>
          <w:b/>
          <w:bCs/>
          <w:sz w:val="21"/>
          <w:szCs w:val="21"/>
        </w:rPr>
        <w:t xml:space="preserve">[EMAIL]</w:t>
      </w:r>
      <w:r>
        <w:rPr>
          <w:rFonts w:ascii="Calibri" w:cs="Calibri" w:eastAsia="Calibri" w:hAnsi="Calibri"/>
          <w:sz w:val="21"/>
          <w:szCs w:val="21"/>
        </w:rPr>
        <w:t xml:space="preserve"> and </w:t>
      </w:r>
      <w:r>
        <w:rPr>
          <w:rFonts w:ascii="Calibri" w:cs="Calibri" w:eastAsia="Calibri" w:hAnsi="Calibri"/>
          <w:b/>
          <w:bCs/>
          <w:sz w:val="21"/>
          <w:szCs w:val="21"/>
        </w:rPr>
        <w:t xml:space="preserve">[PHONE]</w:t>
      </w:r>
      <w:r>
        <w:rPr>
          <w:rFonts w:ascii="Calibri" w:cs="Calibri" w:eastAsia="Calibri" w:hAnsi="Calibri"/>
          <w:sz w:val="21"/>
          <w:szCs w:val="21"/>
        </w:rPr>
        <w:t xml:space="preserve">. Employees must not attempt to assess or resolve a breach before reporting it.</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On becoming aware of a suspected breach, the Company will conduct a </w:t>
      </w:r>
      <w:r>
        <w:rPr>
          <w:rFonts w:ascii="Calibri" w:cs="Calibri" w:eastAsia="Calibri" w:hAnsi="Calibri"/>
          <w:b/>
          <w:bCs/>
          <w:sz w:val="21"/>
          <w:szCs w:val="21"/>
        </w:rPr>
        <w:t xml:space="preserve">prompt and reasonable assessment</w:t>
      </w:r>
      <w:r>
        <w:rPr>
          <w:rFonts w:ascii="Calibri" w:cs="Calibri" w:eastAsia="Calibri" w:hAnsi="Calibri"/>
          <w:sz w:val="21"/>
          <w:szCs w:val="21"/>
        </w:rPr>
        <w:t xml:space="preserve">, to be completed within </w:t>
      </w:r>
      <w:r>
        <w:rPr>
          <w:rFonts w:ascii="Calibri" w:cs="Calibri" w:eastAsia="Calibri" w:hAnsi="Calibri"/>
          <w:b/>
          <w:bCs/>
          <w:sz w:val="21"/>
          <w:szCs w:val="21"/>
        </w:rPr>
        <w:t xml:space="preserve">30 days</w:t>
      </w:r>
      <w:r>
        <w:rPr>
          <w:rFonts w:ascii="Calibri" w:cs="Calibri" w:eastAsia="Calibri" w:hAnsi="Calibri"/>
          <w:sz w:val="21"/>
          <w:szCs w:val="21"/>
        </w:rPr>
        <w:t xml:space="preserve">, to determine whether it is a notifiable breach.</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A breach is notifiable where it results in, or is likely to result in, </w:t>
      </w:r>
      <w:r>
        <w:rPr>
          <w:rFonts w:ascii="Calibri" w:cs="Calibri" w:eastAsia="Calibri" w:hAnsi="Calibri"/>
          <w:b/>
          <w:bCs/>
          <w:sz w:val="21"/>
          <w:szCs w:val="21"/>
        </w:rPr>
        <w:t xml:space="preserve">significant harm</w:t>
      </w:r>
      <w:r>
        <w:rPr>
          <w:rFonts w:ascii="Calibri" w:cs="Calibri" w:eastAsia="Calibri" w:hAnsi="Calibri"/>
          <w:sz w:val="21"/>
          <w:szCs w:val="21"/>
        </w:rPr>
        <w:t xml:space="preserve"> to affected individuals, or is of a </w:t>
      </w:r>
      <w:r>
        <w:rPr>
          <w:rFonts w:ascii="Calibri" w:cs="Calibri" w:eastAsia="Calibri" w:hAnsi="Calibri"/>
          <w:b/>
          <w:bCs/>
          <w:sz w:val="21"/>
          <w:szCs w:val="21"/>
        </w:rPr>
        <w:t xml:space="preserve">significant scale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sz w:val="21"/>
          <w:szCs w:val="21"/>
        </w:rPr>
        <w:t xml:space="preserve">Where notifiable, the Company will notify the </w:t>
      </w:r>
      <w:r>
        <w:rPr>
          <w:rFonts w:ascii="Calibri" w:cs="Calibri" w:eastAsia="Calibri" w:hAnsi="Calibri"/>
          <w:b/>
          <w:bCs/>
          <w:sz w:val="21"/>
          <w:szCs w:val="21"/>
        </w:rPr>
        <w:t xml:space="preserve">Commission within 3 calendar days</w:t>
      </w:r>
      <w:r>
        <w:rPr>
          <w:rFonts w:ascii="Calibri" w:cs="Calibri" w:eastAsia="Calibri" w:hAnsi="Calibri"/>
          <w:sz w:val="21"/>
          <w:szCs w:val="21"/>
        </w:rPr>
        <w:t xml:space="preserve"> of determining that the breach is notifiable, and will notify </w:t>
      </w:r>
      <w:r>
        <w:rPr>
          <w:rFonts w:ascii="Calibri" w:cs="Calibri" w:eastAsia="Calibri" w:hAnsi="Calibri"/>
          <w:b/>
          <w:bCs/>
          <w:sz w:val="21"/>
          <w:szCs w:val="21"/>
        </w:rPr>
        <w:t xml:space="preserve">affected individuals as soon as practicable</w:t>
      </w:r>
      <w:r>
        <w:rPr>
          <w:rFonts w:ascii="Calibri" w:cs="Calibri" w:eastAsia="Calibri" w:hAnsi="Calibri"/>
          <w:sz w:val="21"/>
          <w:szCs w:val="21"/>
        </w:rPr>
        <w:t xml:space="preserve">, unless an exception applies.</w:t>
      </w:r>
    </w:p>
    <w:p>
      <w:pPr>
        <w:spacing w:after="120" w:before="60" w:line="276"/>
        <w:ind w:left="720" w:hanging="720"/>
        <w:jc w:val="both"/>
      </w:pPr>
      <w:r>
        <w:rPr>
          <w:rFonts w:ascii="Calibri" w:cs="Calibri" w:eastAsia="Calibri" w:hAnsi="Calibri"/>
          <w:sz w:val="21"/>
          <w:szCs w:val="21"/>
        </w:rPr>
        <w:t xml:space="preserve">9.5	</w:t>
      </w:r>
      <w:r>
        <w:rPr>
          <w:rFonts w:ascii="Calibri" w:cs="Calibri" w:eastAsia="Calibri" w:hAnsi="Calibri"/>
          <w:sz w:val="21"/>
          <w:szCs w:val="21"/>
        </w:rPr>
        <w:t xml:space="preserve">The Company will contain the breach, recover or delete compromised data where possible, remedy the cause, and record the incident and the response.</w:t>
      </w:r>
    </w:p>
    <w:p>
      <w:pPr>
        <w:spacing w:after="120" w:before="60" w:line="276"/>
        <w:ind w:left="720" w:hanging="720"/>
        <w:jc w:val="both"/>
      </w:pPr>
      <w:r>
        <w:rPr>
          <w:rFonts w:ascii="Calibri" w:cs="Calibri" w:eastAsia="Calibri" w:hAnsi="Calibri"/>
          <w:sz w:val="21"/>
          <w:szCs w:val="21"/>
        </w:rPr>
        <w:t xml:space="preserve">9.6	</w:t>
      </w:r>
      <w:r>
        <w:rPr>
          <w:rFonts w:ascii="Calibri" w:cs="Calibri" w:eastAsia="Calibri" w:hAnsi="Calibri"/>
          <w:sz w:val="21"/>
          <w:szCs w:val="21"/>
        </w:rPr>
        <w:t xml:space="preserve">A breach register will be maintained recording every incident assessed, whether notifiable, and the action taken — </w:t>
      </w:r>
      <w:r>
        <w:rPr>
          <w:rFonts w:ascii="Calibri" w:cs="Calibri" w:eastAsia="Calibri" w:hAnsi="Calibri"/>
          <w:b/>
          <w:bCs/>
          <w:sz w:val="21"/>
          <w:szCs w:val="21"/>
        </w:rPr>
        <w:t xml:space="preserve">including incidents assessed as not notifiable</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10. THIRD PARTIES AND TRANSFERS</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Where a third party processes personal data for the Company, a written agreement will be in place requiring protection to a standard at least equal to the Company’s obligations, restricting use to the Company’s instructions, requiring immediate notification of any breach, and requiring return or deletion on termination.</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The Company remains responsible for personal data processed on its behalf. Engaging a processor does not transfer the obligation.</w:t>
      </w:r>
    </w:p>
    <w:p>
      <w:pPr>
        <w:spacing w:after="120" w:before="60" w:line="276"/>
        <w:ind w:left="720" w:hanging="720"/>
        <w:jc w:val="both"/>
      </w:pPr>
      <w:r>
        <w:rPr>
          <w:rFonts w:ascii="Calibri" w:cs="Calibri" w:eastAsia="Calibri" w:hAnsi="Calibri"/>
          <w:sz w:val="21"/>
          <w:szCs w:val="21"/>
        </w:rPr>
        <w:t xml:space="preserve">10.3	</w:t>
      </w:r>
      <w:r>
        <w:rPr>
          <w:rFonts w:ascii="Calibri" w:cs="Calibri" w:eastAsia="Calibri" w:hAnsi="Calibri"/>
          <w:sz w:val="21"/>
          <w:szCs w:val="21"/>
        </w:rPr>
        <w:t xml:space="preserve">Personal data will be transferred outside Singapore only where the recipient is legally bound to provide a comparable standard of protection, whether by contract, binding corporate rules, or a recognised certification.</w:t>
      </w:r>
    </w:p>
    <w:p>
      <w:pPr>
        <w:spacing w:after="120" w:before="60" w:line="276"/>
        <w:ind w:left="720" w:hanging="720"/>
        <w:jc w:val="both"/>
      </w:pPr>
      <w:r>
        <w:rPr>
          <w:rFonts w:ascii="Calibri" w:cs="Calibri" w:eastAsia="Calibri" w:hAnsi="Calibri"/>
          <w:sz w:val="21"/>
          <w:szCs w:val="21"/>
        </w:rPr>
        <w:t xml:space="preserve">10.4	</w:t>
      </w:r>
      <w:r>
        <w:rPr>
          <w:rFonts w:ascii="Calibri" w:cs="Calibri" w:eastAsia="Calibri" w:hAnsi="Calibri"/>
          <w:sz w:val="21"/>
          <w:szCs w:val="21"/>
        </w:rPr>
        <w:t xml:space="preserve">A record of processors and overseas transfers will be maintained.</w:t>
      </w:r>
    </w:p>
    <w:p>
      <w:pPr>
        <w:keepNext/>
        <w:spacing w:after="120" w:before="280"/>
        <w:outlineLvl w:val="0"/>
      </w:pPr>
      <w:r>
        <w:rPr>
          <w:rFonts w:ascii="Calibri" w:cs="Calibri" w:eastAsia="Calibri" w:hAnsi="Calibri"/>
          <w:b/>
          <w:bCs/>
          <w:color w:val="14161B"/>
          <w:sz w:val="22"/>
          <w:szCs w:val="22"/>
        </w:rPr>
        <w:t xml:space="preserve">11. DO NOT CALL</w:t>
      </w:r>
    </w:p>
    <w:p>
      <w:pPr>
        <w:spacing w:after="120" w:before="60" w:line="276"/>
        <w:ind w:left="720" w:hanging="720"/>
        <w:jc w:val="both"/>
      </w:pPr>
      <w:r>
        <w:rPr>
          <w:rFonts w:ascii="Calibri" w:cs="Calibri" w:eastAsia="Calibri" w:hAnsi="Calibri"/>
          <w:sz w:val="21"/>
          <w:szCs w:val="21"/>
        </w:rPr>
        <w:t xml:space="preserve">11.1	</w:t>
      </w:r>
      <w:r>
        <w:rPr>
          <w:rFonts w:ascii="Calibri" w:cs="Calibri" w:eastAsia="Calibri" w:hAnsi="Calibri"/>
          <w:sz w:val="21"/>
          <w:szCs w:val="21"/>
        </w:rPr>
        <w:t xml:space="preserve">Before sending a marketing message to a Singapore telephone number by voice call, text or fax, the Company will check the number against the Do Not Call Registry, unless it has clear and unambiguous consent in evidential form, or an exemption applies.</w:t>
      </w:r>
    </w:p>
    <w:p>
      <w:pPr>
        <w:spacing w:after="120" w:before="60" w:line="276"/>
        <w:ind w:left="720" w:hanging="720"/>
        <w:jc w:val="both"/>
      </w:pPr>
      <w:r>
        <w:rPr>
          <w:rFonts w:ascii="Calibri" w:cs="Calibri" w:eastAsia="Calibri" w:hAnsi="Calibri"/>
          <w:sz w:val="21"/>
          <w:szCs w:val="21"/>
        </w:rPr>
        <w:t xml:space="preserve">11.2	</w:t>
      </w:r>
      <w:r>
        <w:rPr>
          <w:rFonts w:ascii="Calibri" w:cs="Calibri" w:eastAsia="Calibri" w:hAnsi="Calibri"/>
          <w:sz w:val="21"/>
          <w:szCs w:val="21"/>
        </w:rPr>
        <w:t xml:space="preserve">Registry checks are valid for the prescribed period; the Company will record the date of each check.</w:t>
      </w:r>
    </w:p>
    <w:p>
      <w:pPr>
        <w:spacing w:after="120" w:before="60" w:line="276"/>
        <w:ind w:left="720" w:hanging="720"/>
        <w:jc w:val="both"/>
      </w:pPr>
      <w:r>
        <w:rPr>
          <w:rFonts w:ascii="Calibri" w:cs="Calibri" w:eastAsia="Calibri" w:hAnsi="Calibri"/>
          <w:sz w:val="21"/>
          <w:szCs w:val="21"/>
        </w:rPr>
        <w:t xml:space="preserve">11.3	</w:t>
      </w:r>
      <w:r>
        <w:rPr>
          <w:rFonts w:ascii="Calibri" w:cs="Calibri" w:eastAsia="Calibri" w:hAnsi="Calibri"/>
          <w:sz w:val="21"/>
          <w:szCs w:val="21"/>
        </w:rPr>
        <w:t xml:space="preserve">Every marketing message will identify the sender and provide contact information.</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Data Protection Officer</w:t>
            </w:r>
          </w:p>
          <w:p>
            <w:pPr>
              <w:spacing w:after="90" w:line="264"/>
            </w:pP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Data Breach Response — First 72 Hours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963"/>
        <w:gridCol w:w="5397"/>
        <w:gridCol w:w="1734"/>
        <w:gridCol w:w="1544"/>
      </w:tblGrid>
      <w:tr>
        <w:trPr>
          <w:tblHeader/>
        </w:trPr>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Hour</w:t>
            </w:r>
          </w:p>
        </w:tc>
        <w:tc>
          <w:tcPr>
            <w:tcW w:type="dxa" w:w="539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Action</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Owner</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0</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Breach reported to the Data Protection Officer — by anyone, immediately, without prior assessment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Anyone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0–2</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Contain — isolate systems, revoke credentials, stop the transmission, recover devices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2–6</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 the facts — what, when discovered, how, what data, how many individuals, whose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[DPO]</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6–24</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Assess — categories of data, sensitivity, likelihood of significant harm, scale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[DPO]</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6–24</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Preserve evidence and logs; do not overwrite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24–48</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Determine whether notifiable; record the determination and the reasoning </w:t>
            </w:r>
            <w:r>
              <w:rPr>
                <w:rFonts w:ascii="Calibri" w:cs="Calibri" w:eastAsia="Calibri" w:hAnsi="Calibri"/>
                <w:b/>
                <w:bCs/>
                <w:sz w:val="18"/>
                <w:szCs w:val="18"/>
              </w:rPr>
              <w:t xml:space="preserve">either way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[DPO]</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48–72</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notifiable: </w:t>
            </w:r>
            <w:r>
              <w:rPr>
                <w:rFonts w:ascii="Calibri" w:cs="Calibri" w:eastAsia="Calibri" w:hAnsi="Calibri"/>
                <w:b/>
                <w:bCs/>
                <w:sz w:val="18"/>
                <w:szCs w:val="18"/>
              </w:rPr>
              <w:t xml:space="preserve">notify the Commission within 3 calendar days of determination</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[DPO]</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48–72</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notifiable: notify affected individuals as soon as practicable, with what happened and what they should do</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[DPO]</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Remediate the root cause; review controls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 in the breach register; report to management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[DPO]</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Breach Assessment Record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Incident reference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Date and time discovered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r>
              <w:rPr>
                <w:rFonts w:ascii="Calibri" w:cs="Calibri" w:eastAsia="Calibri" w:hAnsi="Calibri"/>
                <w:sz w:val="18"/>
                <w:szCs w:val="18"/>
              </w:rPr>
              <w:t xml:space="preserve">, </w:t>
            </w:r>
            <w:r>
              <w:rPr>
                <w:rFonts w:ascii="Calibri" w:cs="Calibri" w:eastAsia="Calibri" w:hAnsi="Calibri"/>
                <w:b/>
                <w:bCs/>
                <w:sz w:val="18"/>
                <w:szCs w:val="18"/>
              </w:rPr>
              <w:t xml:space="preserve">[TIME]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How discovered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Description of the incident</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HAPPENED]</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Categories of personal data involved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 contact, identification number, financial, health, other]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Number of individuals affected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Whose data</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[Customers / Employees / Applicants / Others]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Was the data encrypted or otherwise unintelligible?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Has the data been recovered or deleted?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Likelihood of significant harm</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[ASSESSMENT AND REASONING]</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Significant scale?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[ASSESSMENT AND REASONING]</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Notifiable?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 / NO]</w:t>
            </w:r>
            <w:r>
              <w:rPr>
                <w:rFonts w:ascii="Calibri" w:cs="Calibri" w:eastAsia="Calibri" w:hAnsi="Calibri"/>
                <w:sz w:val="18"/>
                <w:szCs w:val="18"/>
              </w:rPr>
              <w:t xml:space="preserve"> — determined on </w:t>
            </w:r>
            <w:r>
              <w:rPr>
                <w:rFonts w:ascii="Calibri" w:cs="Calibri" w:eastAsia="Calibri" w:hAnsi="Calibri"/>
                <w:b/>
                <w:bCs/>
                <w:sz w:val="18"/>
                <w:szCs w:val="18"/>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Reasoning for the determination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[RECORD THIS EVEN WHERE NOT NOTIFIABLE]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Commission notified 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Individuals notified 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r>
              <w:rPr>
                <w:rFonts w:ascii="Calibri" w:cs="Calibri" w:eastAsia="Calibri" w:hAnsi="Calibri"/>
                <w:sz w:val="18"/>
                <w:szCs w:val="18"/>
              </w:rPr>
              <w:t xml:space="preserve">, by </w:t>
            </w:r>
            <w:r>
              <w:rPr>
                <w:rFonts w:ascii="Calibri" w:cs="Calibri" w:eastAsia="Calibri" w:hAnsi="Calibri"/>
                <w:b/>
                <w:bCs/>
                <w:sz w:val="18"/>
                <w:szCs w:val="18"/>
              </w:rPr>
              <w:t xml:space="preserve">[METHOD]</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Containment and remediation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Root cause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Preventive action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Appointing a Data Protection Officer is mandatory</w:t>
      </w:r>
    </w:p>
    <w:p>
      <w:pPr>
        <w:spacing w:after="60" w:line="264"/>
        <w:jc w:val="both"/>
      </w:pPr>
      <w:r>
        <w:rPr>
          <w:rFonts w:ascii="Calibri" w:cs="Calibri" w:eastAsia="Calibri" w:hAnsi="Calibri"/>
          <w:sz w:val="19"/>
          <w:szCs w:val="19"/>
        </w:rPr>
        <w:t xml:space="preserve">Every organisation must appoint at least one individual as Data Protection Officer and make their business contact information available. The role may be held alongside other duties or outsourced, but it must be filled, and the contact must be genuinely published and monitored. An unstaffed generic mailbox does not satisfy the requirement, and it is among the first things checked.</w:t>
      </w:r>
    </w:p>
    <w:p>
      <w:pPr>
        <w:keepNext/>
        <w:spacing w:after="40" w:before="140"/>
      </w:pPr>
      <w:r>
        <w:rPr>
          <w:rFonts w:ascii="Calibri" w:cs="Calibri" w:eastAsia="Calibri" w:hAnsi="Calibri"/>
          <w:b/>
          <w:bCs/>
          <w:color w:val="14161B"/>
          <w:sz w:val="20"/>
          <w:szCs w:val="20"/>
        </w:rPr>
        <w:t xml:space="preserve">Name a deputy</w:t>
      </w:r>
    </w:p>
    <w:p>
      <w:pPr>
        <w:spacing w:after="60" w:line="264"/>
        <w:jc w:val="both"/>
      </w:pPr>
      <w:r>
        <w:rPr>
          <w:rFonts w:ascii="Calibri" w:cs="Calibri" w:eastAsia="Calibri" w:hAnsi="Calibri"/>
          <w:sz w:val="19"/>
          <w:szCs w:val="19"/>
        </w:rPr>
        <w:t xml:space="preserve">Access requests have deadlines and breaches have a three-day notification clock. A single officer on leave stops the process. Clause 3.4 requires an alternate; it costs nothing and prevents the most avoidable failure.</w:t>
      </w:r>
    </w:p>
    <w:p>
      <w:pPr>
        <w:keepNext/>
        <w:spacing w:after="40" w:before="140"/>
      </w:pPr>
      <w:r>
        <w:rPr>
          <w:rFonts w:ascii="Calibri" w:cs="Calibri" w:eastAsia="Calibri" w:hAnsi="Calibri"/>
          <w:b/>
          <w:bCs/>
          <w:color w:val="14161B"/>
          <w:sz w:val="20"/>
          <w:szCs w:val="20"/>
        </w:rPr>
        <w:t xml:space="preserve">Breach notification: 30 days to assess, 3 days to notify</w:t>
      </w:r>
    </w:p>
    <w:p>
      <w:pPr>
        <w:spacing w:after="60" w:line="264"/>
        <w:jc w:val="both"/>
      </w:pPr>
      <w:r>
        <w:rPr>
          <w:rFonts w:ascii="Calibri" w:cs="Calibri" w:eastAsia="Calibri" w:hAnsi="Calibri"/>
          <w:sz w:val="19"/>
          <w:szCs w:val="19"/>
        </w:rPr>
        <w:t xml:space="preserve">On becoming aware of a suspected breach, the assessment must be prompt and reasonable, and completed within thirty days. Where the breach is determined notifiable, the Commission must be notified within three calendar days of that determination, and affected individuals as soon as practicable. Note that the three days runs from </w:t>
      </w:r>
      <w:r>
        <w:rPr>
          <w:rFonts w:ascii="Calibri" w:cs="Calibri" w:eastAsia="Calibri" w:hAnsi="Calibri"/>
          <w:b/>
          <w:bCs/>
          <w:sz w:val="19"/>
          <w:szCs w:val="19"/>
        </w:rPr>
        <w:t xml:space="preserve">determination</w:t>
      </w:r>
      <w:r>
        <w:rPr>
          <w:rFonts w:ascii="Calibri" w:cs="Calibri" w:eastAsia="Calibri" w:hAnsi="Calibri"/>
          <w:sz w:val="19"/>
          <w:szCs w:val="19"/>
        </w:rPr>
        <w:t xml:space="preserve">, not from discovery — which is why the determination date must be recorded.</w:t>
      </w:r>
    </w:p>
    <w:p>
      <w:pPr>
        <w:keepNext/>
        <w:spacing w:after="40" w:before="140"/>
      </w:pPr>
      <w:r>
        <w:rPr>
          <w:rFonts w:ascii="Calibri" w:cs="Calibri" w:eastAsia="Calibri" w:hAnsi="Calibri"/>
          <w:b/>
          <w:bCs/>
          <w:color w:val="14161B"/>
          <w:sz w:val="20"/>
          <w:szCs w:val="20"/>
        </w:rPr>
        <w:t xml:space="preserve">Record why a breach was not notifiable</w:t>
      </w:r>
    </w:p>
    <w:p>
      <w:pPr>
        <w:spacing w:after="60" w:line="264"/>
        <w:jc w:val="both"/>
      </w:pPr>
      <w:r>
        <w:rPr>
          <w:rFonts w:ascii="Calibri" w:cs="Calibri" w:eastAsia="Calibri" w:hAnsi="Calibri"/>
          <w:sz w:val="19"/>
          <w:szCs w:val="19"/>
        </w:rPr>
        <w:t xml:space="preserve">Organisations diligently record notifiable breaches and record nothing about the ones they assessed and dismissed. If a breach is later questioned, the absence of any assessment record looks like no assessment was made. Clause 9.6 and Annexure B both require the reasoning either way.</w:t>
      </w:r>
    </w:p>
    <w:p>
      <w:pPr>
        <w:keepNext/>
        <w:spacing w:after="40" w:before="140"/>
      </w:pPr>
      <w:r>
        <w:rPr>
          <w:rFonts w:ascii="Calibri" w:cs="Calibri" w:eastAsia="Calibri" w:hAnsi="Calibri"/>
          <w:b/>
          <w:bCs/>
          <w:color w:val="14161B"/>
          <w:sz w:val="20"/>
          <w:szCs w:val="20"/>
        </w:rPr>
        <w:t xml:space="preserve">Significant harm or significant scale — two separate tests</w:t>
      </w:r>
    </w:p>
    <w:p>
      <w:pPr>
        <w:spacing w:after="60" w:line="264"/>
        <w:jc w:val="both"/>
      </w:pPr>
      <w:r>
        <w:rPr>
          <w:rFonts w:ascii="Calibri" w:cs="Calibri" w:eastAsia="Calibri" w:hAnsi="Calibri"/>
          <w:sz w:val="19"/>
          <w:szCs w:val="19"/>
        </w:rPr>
        <w:t xml:space="preserve">A breach is notifiable if it is likely to result in significant harm to individuals, </w:t>
      </w:r>
      <w:r>
        <w:rPr>
          <w:rFonts w:ascii="Calibri" w:cs="Calibri" w:eastAsia="Calibri" w:hAnsi="Calibri"/>
          <w:b/>
          <w:bCs/>
          <w:sz w:val="19"/>
          <w:szCs w:val="19"/>
        </w:rPr>
        <w:t xml:space="preserve">or</w:t>
      </w:r>
      <w:r>
        <w:rPr>
          <w:rFonts w:ascii="Calibri" w:cs="Calibri" w:eastAsia="Calibri" w:hAnsi="Calibri"/>
          <w:sz w:val="19"/>
          <w:szCs w:val="19"/>
        </w:rPr>
        <w:t xml:space="preserve"> if it is of significant scale. A small breach of sensitive data can be notifiable on harm; a large breach of low-sensitivity data can be notifiable on scale. Assess both, not one.</w:t>
      </w:r>
    </w:p>
    <w:p>
      <w:pPr>
        <w:keepNext/>
        <w:spacing w:after="40" w:before="140"/>
      </w:pPr>
      <w:r>
        <w:rPr>
          <w:rFonts w:ascii="Calibri" w:cs="Calibri" w:eastAsia="Calibri" w:hAnsi="Calibri"/>
          <w:b/>
          <w:bCs/>
          <w:color w:val="14161B"/>
          <w:sz w:val="20"/>
          <w:szCs w:val="20"/>
        </w:rPr>
        <w:t xml:space="preserve">Report first, assess later</w:t>
      </w:r>
    </w:p>
    <w:p>
      <w:pPr>
        <w:spacing w:after="60" w:line="264"/>
        <w:jc w:val="both"/>
      </w:pPr>
      <w:r>
        <w:rPr>
          <w:rFonts w:ascii="Calibri" w:cs="Calibri" w:eastAsia="Calibri" w:hAnsi="Calibri"/>
          <w:sz w:val="19"/>
          <w:szCs w:val="19"/>
        </w:rPr>
        <w:t xml:space="preserve">Clause 9.1 instructs employees to report immediately and </w:t>
      </w:r>
      <w:r>
        <w:rPr>
          <w:rFonts w:ascii="Calibri" w:cs="Calibri" w:eastAsia="Calibri" w:hAnsi="Calibri"/>
          <w:b/>
          <w:bCs/>
          <w:sz w:val="19"/>
          <w:szCs w:val="19"/>
        </w:rPr>
        <w:t xml:space="preserve">not</w:t>
      </w:r>
      <w:r>
        <w:rPr>
          <w:rFonts w:ascii="Calibri" w:cs="Calibri" w:eastAsia="Calibri" w:hAnsi="Calibri"/>
          <w:sz w:val="19"/>
          <w:szCs w:val="19"/>
        </w:rPr>
        <w:t xml:space="preserve"> to assess or resolve first. The most damaging delays come from a well-meaning employee trying to fix a problem quietly before telling anyone, which loses containment time and often destroys the evidence.</w:t>
      </w:r>
    </w:p>
    <w:p>
      <w:pPr>
        <w:keepNext/>
        <w:spacing w:after="40" w:before="140"/>
      </w:pPr>
      <w:r>
        <w:rPr>
          <w:rFonts w:ascii="Calibri" w:cs="Calibri" w:eastAsia="Calibri" w:hAnsi="Calibri"/>
          <w:b/>
          <w:bCs/>
          <w:color w:val="14161B"/>
          <w:sz w:val="20"/>
          <w:szCs w:val="20"/>
        </w:rPr>
        <w:t xml:space="preserve">Consent is not the only basis, but exceptions need work</w:t>
      </w:r>
    </w:p>
    <w:p>
      <w:pPr>
        <w:spacing w:after="60" w:line="264"/>
        <w:jc w:val="both"/>
      </w:pPr>
      <w:r>
        <w:rPr>
          <w:rFonts w:ascii="Calibri" w:cs="Calibri" w:eastAsia="Calibri" w:hAnsi="Calibri"/>
          <w:sz w:val="19"/>
          <w:szCs w:val="19"/>
        </w:rPr>
        <w:t xml:space="preserve">The Act permits collection, use and disclosure without consent in defined circumstances, including legitimate interests and business improvement. These are not free passes — several require an assessment to be carried out and documented before reliance. Identify and record the basis, as Clause 4.4 requires.</w:t>
      </w:r>
    </w:p>
    <w:p>
      <w:pPr>
        <w:keepNext/>
        <w:spacing w:after="40" w:before="140"/>
      </w:pPr>
      <w:r>
        <w:rPr>
          <w:rFonts w:ascii="Calibri" w:cs="Calibri" w:eastAsia="Calibri" w:hAnsi="Calibri"/>
          <w:b/>
          <w:bCs/>
          <w:color w:val="14161B"/>
          <w:sz w:val="20"/>
          <w:szCs w:val="20"/>
        </w:rPr>
        <w:t xml:space="preserve">Do not bundle consent</w:t>
      </w:r>
    </w:p>
    <w:p>
      <w:pPr>
        <w:spacing w:after="60" w:line="264"/>
        <w:jc w:val="both"/>
      </w:pPr>
      <w:r>
        <w:rPr>
          <w:rFonts w:ascii="Calibri" w:cs="Calibri" w:eastAsia="Calibri" w:hAnsi="Calibri"/>
          <w:sz w:val="19"/>
          <w:szCs w:val="19"/>
        </w:rPr>
        <w:t xml:space="preserve">Consent obtained by requiring it as a condition of a service, beyond what is reasonably required to provide that service, is not valid. Bundled consent in terms and conditions is a common and long-standing problem. Ask separately, and make withdrawal easy.</w:t>
      </w:r>
    </w:p>
    <w:p>
      <w:pPr>
        <w:keepNext/>
        <w:spacing w:after="40" w:before="140"/>
      </w:pPr>
      <w:r>
        <w:rPr>
          <w:rFonts w:ascii="Calibri" w:cs="Calibri" w:eastAsia="Calibri" w:hAnsi="Calibri"/>
          <w:b/>
          <w:bCs/>
          <w:color w:val="14161B"/>
          <w:sz w:val="20"/>
          <w:szCs w:val="20"/>
        </w:rPr>
        <w:t xml:space="preserve">Retention is where most organisations quietly fail</w:t>
      </w:r>
    </w:p>
    <w:p>
      <w:pPr>
        <w:spacing w:after="60" w:line="264"/>
        <w:jc w:val="both"/>
      </w:pPr>
      <w:r>
        <w:rPr>
          <w:rFonts w:ascii="Calibri" w:cs="Calibri" w:eastAsia="Calibri" w:hAnsi="Calibri"/>
          <w:sz w:val="19"/>
          <w:szCs w:val="19"/>
        </w:rPr>
        <w:t xml:space="preserve">The obligation is to cease retaining data once the purpose has ended and retention is no longer necessary. Most organisations keep everything indefinitely because deletion is effortful and nobody owns it. A retention schedule that is written but not implemented is worse than none — it evidences knowledge of an obligation that was not met. Assign the schedule to an owner and audit it.</w:t>
      </w:r>
    </w:p>
    <w:p>
      <w:pPr>
        <w:keepNext/>
        <w:spacing w:after="40" w:before="140"/>
      </w:pPr>
      <w:r>
        <w:rPr>
          <w:rFonts w:ascii="Calibri" w:cs="Calibri" w:eastAsia="Calibri" w:hAnsi="Calibri"/>
          <w:b/>
          <w:bCs/>
          <w:color w:val="14161B"/>
          <w:sz w:val="20"/>
          <w:szCs w:val="20"/>
        </w:rPr>
        <w:t xml:space="preserve">Deleting from the live system is not disposal</w:t>
      </w:r>
    </w:p>
    <w:p>
      <w:pPr>
        <w:spacing w:after="60" w:line="264"/>
        <w:jc w:val="both"/>
      </w:pPr>
      <w:r>
        <w:rPr>
          <w:rFonts w:ascii="Calibri" w:cs="Calibri" w:eastAsia="Calibri" w:hAnsi="Calibri"/>
          <w:sz w:val="19"/>
          <w:szCs w:val="19"/>
        </w:rPr>
        <w:t xml:space="preserve">Backups, archives, exports, and copies held by processors all persist. Clause 7.2 says so. When scoping deletion, follow the data rather than the application.</w:t>
      </w:r>
    </w:p>
    <w:p>
      <w:pPr>
        <w:keepNext/>
        <w:spacing w:after="40" w:before="140"/>
      </w:pPr>
      <w:r>
        <w:rPr>
          <w:rFonts w:ascii="Calibri" w:cs="Calibri" w:eastAsia="Calibri" w:hAnsi="Calibri"/>
          <w:b/>
          <w:bCs/>
          <w:color w:val="14161B"/>
          <w:sz w:val="20"/>
          <w:szCs w:val="20"/>
        </w:rPr>
        <w:t xml:space="preserve">You remain responsible for your processors</w:t>
      </w:r>
    </w:p>
    <w:p>
      <w:pPr>
        <w:spacing w:after="60" w:line="264"/>
        <w:jc w:val="both"/>
      </w:pPr>
      <w:r>
        <w:rPr>
          <w:rFonts w:ascii="Calibri" w:cs="Calibri" w:eastAsia="Calibri" w:hAnsi="Calibri"/>
          <w:sz w:val="19"/>
          <w:szCs w:val="19"/>
        </w:rPr>
        <w:t xml:space="preserve">Engaging a vendor does not transfer the obligation. The written agreement required by Clause 10.1 is the control, and it must include immediate breach notification — a processor that notifies you a month later makes your own three-day clock impossible to meet.</w:t>
      </w:r>
    </w:p>
    <w:p>
      <w:pPr>
        <w:keepNext/>
        <w:spacing w:after="40" w:before="140"/>
      </w:pPr>
      <w:r>
        <w:rPr>
          <w:rFonts w:ascii="Calibri" w:cs="Calibri" w:eastAsia="Calibri" w:hAnsi="Calibri"/>
          <w:b/>
          <w:bCs/>
          <w:color w:val="14161B"/>
          <w:sz w:val="20"/>
          <w:szCs w:val="20"/>
        </w:rPr>
        <w:t xml:space="preserve">Overseas transfer needs a comparable standard</w:t>
      </w:r>
    </w:p>
    <w:p>
      <w:pPr>
        <w:spacing w:after="60" w:line="264"/>
        <w:jc w:val="both"/>
      </w:pPr>
      <w:r>
        <w:rPr>
          <w:rFonts w:ascii="Calibri" w:cs="Calibri" w:eastAsia="Calibri" w:hAnsi="Calibri"/>
          <w:sz w:val="19"/>
          <w:szCs w:val="19"/>
        </w:rPr>
        <w:t xml:space="preserve">Data may be transferred outside Singapore only where the recipient is bound to a comparable standard of protection. For a group using a cloud provider hosted elsewhere, this needs to be documented, not assumed. Maintain the transfer record required by Clause 10.4.</w:t>
      </w:r>
    </w:p>
    <w:p>
      <w:pPr>
        <w:keepNext/>
        <w:spacing w:after="40" w:before="140"/>
      </w:pPr>
      <w:r>
        <w:rPr>
          <w:rFonts w:ascii="Calibri" w:cs="Calibri" w:eastAsia="Calibri" w:hAnsi="Calibri"/>
          <w:b/>
          <w:bCs/>
          <w:color w:val="14161B"/>
          <w:sz w:val="20"/>
          <w:szCs w:val="20"/>
        </w:rPr>
        <w:t xml:space="preserve">Do Not Call is separate and frequently forgotten</w:t>
      </w:r>
    </w:p>
    <w:p>
      <w:pPr>
        <w:spacing w:after="60" w:line="264"/>
        <w:jc w:val="both"/>
      </w:pPr>
      <w:r>
        <w:rPr>
          <w:rFonts w:ascii="Calibri" w:cs="Calibri" w:eastAsia="Calibri" w:hAnsi="Calibri"/>
          <w:sz w:val="19"/>
          <w:szCs w:val="19"/>
        </w:rPr>
        <w:t xml:space="preserve">The Do Not Call obligations apply to marketing messages sent to Singapore telephone numbers and operate alongside the data protection obligations. Checking the registry, or holding clear and unambiguous consent in evidential form, is required before sending. Enforcement action here is common and the fixes are simple.</w:t>
      </w:r>
    </w:p>
    <w:p>
      <w:pPr>
        <w:keepNext/>
        <w:spacing w:after="40" w:before="140"/>
      </w:pPr>
      <w:r>
        <w:rPr>
          <w:rFonts w:ascii="Calibri" w:cs="Calibri" w:eastAsia="Calibri" w:hAnsi="Calibri"/>
          <w:b/>
          <w:bCs/>
          <w:color w:val="14161B"/>
          <w:sz w:val="20"/>
          <w:szCs w:val="20"/>
        </w:rPr>
        <w:t xml:space="preserve">Employee data is personal data</w:t>
      </w:r>
    </w:p>
    <w:p>
      <w:pPr>
        <w:spacing w:after="60" w:line="264"/>
        <w:jc w:val="both"/>
      </w:pPr>
      <w:r>
        <w:rPr>
          <w:rFonts w:ascii="Calibri" w:cs="Calibri" w:eastAsia="Calibri" w:hAnsi="Calibri"/>
          <w:sz w:val="19"/>
          <w:szCs w:val="19"/>
        </w:rPr>
        <w:t xml:space="preserve">Payroll, performance, health and disciplinary records are all in scope. The employee privacy notice required by Clause 5.2 is not optional in substance — the notification obligation applies to employees as to anyone else.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Personal Data Protection Act has been amended and further provisions, including data portability, may come into force — confirm the current position, and review this policy with an adviser whenever processing changes materially or a new system is introduced.</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2026-08-22T06:55:28.926Z</dcterms:created>
  <dcterms:modified xsi:type="dcterms:W3CDTF">2026-08-22T06:55:28.926Z</dcterms:modified>
</cp:coreProperties>
</file>

<file path=docProps/custom.xml><?xml version="1.0" encoding="utf-8"?>
<Properties xmlns="http://schemas.openxmlformats.org/officeDocument/2006/custom-properties" xmlns:vt="http://schemas.openxmlformats.org/officeDocument/2006/docPropsVTypes"/>
</file>