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PARTNERSHIP AGREEMENT</w:t>
      </w:r>
    </w:p>
    <w:p>
      <w:pPr>
        <w:spacing w:after="260"/>
        <w:jc w:val="center"/>
      </w:pPr>
      <w:r>
        <w:rPr>
          <w:rFonts w:ascii="Calibri" w:cs="Calibri" w:eastAsia="Calibri" w:hAnsi="Calibri"/>
          <w:i/>
          <w:iCs/>
          <w:color w:val="6E7480"/>
          <w:sz w:val="19"/>
          <w:szCs w:val="19"/>
        </w:rPr>
        <w:t xml:space="preserve">General partnership — </w:t>
      </w:r>
      <w:r>
        <w:rPr>
          <w:rFonts w:ascii="Calibri" w:cs="Calibri" w:eastAsia="Calibri" w:hAnsi="Calibri"/>
          <w:b/>
          <w:bCs/>
          <w:i/>
          <w:iCs/>
          <w:color w:val="6E7480"/>
          <w:sz w:val="19"/>
          <w:szCs w:val="19"/>
        </w:rPr>
        <w:t xml:space="preserve">[PARTNERSHIP NAME]</w:t>
      </w:r>
    </w:p>
    <w:p>
      <w:pPr>
        <w:spacing w:after="180" w:before="0" w:line="276"/>
        <w:jc w:val="both"/>
      </w:pPr>
      <w:r>
        <w:rPr>
          <w:rFonts w:ascii="Calibri" w:cs="Calibri" w:eastAsia="Calibri" w:hAnsi="Calibri"/>
          <w:i/>
          <w:iCs/>
          <w:color w:val="6E7480"/>
          <w:sz w:val="21"/>
          <w:szCs w:val="21"/>
        </w:rPr>
        <w:t xml:space="preserve">Read this before using it. A general partnership has </w:t>
      </w:r>
      <w:r>
        <w:rPr>
          <w:rFonts w:ascii="Calibri" w:cs="Calibri" w:eastAsia="Calibri" w:hAnsi="Calibri"/>
          <w:b/>
          <w:bCs/>
          <w:i/>
          <w:iCs/>
          <w:color w:val="6E7480"/>
          <w:sz w:val="21"/>
          <w:szCs w:val="21"/>
        </w:rPr>
        <w:t xml:space="preserve">no separate legal personality and no limited liability</w:t>
      </w:r>
      <w:r>
        <w:rPr>
          <w:rFonts w:ascii="Calibri" w:cs="Calibri" w:eastAsia="Calibri" w:hAnsi="Calibri"/>
          <w:i/>
          <w:iCs/>
          <w:color w:val="6E7480"/>
          <w:sz w:val="21"/>
          <w:szCs w:val="21"/>
        </w:rPr>
        <w:t xml:space="preserve">. Each partner is personally liable for the whole of the partnership’s debts, and is bound by the acts of every other partner in the ordinary course of business. For most situations an LLP or a company is the better answer.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Partnership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 registration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business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Partners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r>
              <w:rPr>
                <w:rFonts w:ascii="Calibri" w:cs="Calibri" w:eastAsia="Calibri" w:hAnsi="Calibri"/>
                <w:sz w:val="19"/>
                <w:szCs w:val="19"/>
              </w:rPr>
              <w:t xml:space="preserve"> — maximum </w:t>
            </w:r>
            <w:r>
              <w:rPr>
                <w:rFonts w:ascii="Calibri" w:cs="Calibri" w:eastAsia="Calibri" w:hAnsi="Calibri"/>
                <w:b/>
                <w:bCs/>
                <w:sz w:val="19"/>
                <w:szCs w:val="19"/>
              </w:rPr>
              <w:t xml:space="preserve">20</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Manager, where any partner is foreign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ordinarily resident in Singapore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Liability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Unlimited and joint — see Clause 1</w:t>
            </w:r>
          </w:p>
        </w:tc>
      </w:tr>
    </w:tbl>
    <w:p>
      <w:pPr>
        <w:spacing w:after="180"/>
      </w:pPr>
    </w:p>
    <w:p>
      <w:pPr>
        <w:keepNext/>
        <w:spacing w:after="120" w:before="280"/>
        <w:outlineLvl w:val="0"/>
      </w:pPr>
      <w:r>
        <w:rPr>
          <w:rFonts w:ascii="Calibri" w:cs="Calibri" w:eastAsia="Calibri" w:hAnsi="Calibri"/>
          <w:b/>
          <w:bCs/>
          <w:color w:val="14161B"/>
          <w:sz w:val="22"/>
          <w:szCs w:val="22"/>
        </w:rPr>
        <w:t xml:space="preserve">1. NATURE AND LIABILITY — READ FIRST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general partnership is </w:t>
      </w:r>
      <w:r>
        <w:rPr>
          <w:rFonts w:ascii="Calibri" w:cs="Calibri" w:eastAsia="Calibri" w:hAnsi="Calibri"/>
          <w:b/>
          <w:bCs/>
          <w:sz w:val="21"/>
          <w:szCs w:val="21"/>
        </w:rPr>
        <w:t xml:space="preserve">not a separate legal entity</w:t>
      </w:r>
      <w:r>
        <w:rPr>
          <w:rFonts w:ascii="Calibri" w:cs="Calibri" w:eastAsia="Calibri" w:hAnsi="Calibri"/>
          <w:sz w:val="21"/>
          <w:szCs w:val="21"/>
        </w:rPr>
        <w:t xml:space="preserve">. It cannot own property or contract in its own name; the partners do so jointly.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Each partner is personally liable, without limit, for the debts and obligations of the partnership.</w:t>
      </w:r>
      <w:r>
        <w:rPr>
          <w:rFonts w:ascii="Calibri" w:cs="Calibri" w:eastAsia="Calibri" w:hAnsi="Calibri"/>
          <w:sz w:val="21"/>
          <w:szCs w:val="21"/>
        </w:rPr>
        <w:t xml:space="preserve"> A creditor may pursue any partner for the whole amount, regardless of that partner’s share.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Each partner is an </w:t>
      </w:r>
      <w:r>
        <w:rPr>
          <w:rFonts w:ascii="Calibri" w:cs="Calibri" w:eastAsia="Calibri" w:hAnsi="Calibri"/>
          <w:b/>
          <w:bCs/>
          <w:sz w:val="21"/>
          <w:szCs w:val="21"/>
        </w:rPr>
        <w:t xml:space="preserve">agent of the partnership</w:t>
      </w:r>
      <w:r>
        <w:rPr>
          <w:rFonts w:ascii="Calibri" w:cs="Calibri" w:eastAsia="Calibri" w:hAnsi="Calibri"/>
          <w:sz w:val="21"/>
          <w:szCs w:val="21"/>
        </w:rPr>
        <w:t xml:space="preserve"> and of the other partners for the purpose of its business. An act done by one partner in the ordinary course binds all the others, whether or not they knew of it.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A new partner is generally not liable for obligations incurred before joining. A </w:t>
      </w:r>
      <w:r>
        <w:rPr>
          <w:rFonts w:ascii="Calibri" w:cs="Calibri" w:eastAsia="Calibri" w:hAnsi="Calibri"/>
          <w:b/>
          <w:bCs/>
          <w:sz w:val="21"/>
          <w:szCs w:val="21"/>
        </w:rPr>
        <w:t xml:space="preserve">retiring partner remains liable</w:t>
      </w:r>
      <w:r>
        <w:rPr>
          <w:rFonts w:ascii="Calibri" w:cs="Calibri" w:eastAsia="Calibri" w:hAnsi="Calibri"/>
          <w:sz w:val="21"/>
          <w:szCs w:val="21"/>
        </w:rPr>
        <w:t xml:space="preserve"> for obligations incurred while a partner, and may continue to be liable to a person dealing with the firm who has no notice of the retirement.</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i/>
          <w:iCs/>
          <w:sz w:val="21"/>
          <w:szCs w:val="21"/>
        </w:rPr>
        <w:t xml:space="preserve">If the partners want protection from each other’s acts, this is the wrong structure. Consider an LLP or a company before signing.</w:t>
      </w:r>
    </w:p>
    <w:p>
      <w:pPr>
        <w:keepNext/>
        <w:spacing w:after="120" w:before="280"/>
        <w:outlineLvl w:val="0"/>
      </w:pPr>
      <w:r>
        <w:rPr>
          <w:rFonts w:ascii="Calibri" w:cs="Calibri" w:eastAsia="Calibri" w:hAnsi="Calibri"/>
          <w:b/>
          <w:bCs/>
          <w:color w:val="14161B"/>
          <w:sz w:val="22"/>
          <w:szCs w:val="22"/>
        </w:rPr>
        <w:t xml:space="preserve">2. CAPITAL AND SHARES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734"/>
        <w:gridCol w:w="2698"/>
        <w:gridCol w:w="1349"/>
        <w:gridCol w:w="1352"/>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Capital (S$)</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Non-cash contribution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Profit share</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Loss share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698"/>
            <w:tcMar>
              <w:top w:type="dxa" w:w="70"/>
              <w:left w:type="dxa" w:w="100"/>
              <w:bottom w:type="dxa" w:w="70"/>
              <w:right w:type="dxa" w:w="100"/>
            </w:tcMar>
            <w:vAlign w:val="center"/>
          </w:tcPr>
          <w:p>
            <w:pPr>
              <w:spacing w:after="0" w:line="240"/>
              <w:jc w:val="left"/>
            </w:pP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Where this agreement is silent, the default rules under the Partnership Act apply — including </w:t>
      </w:r>
      <w:r>
        <w:rPr>
          <w:rFonts w:ascii="Calibri" w:cs="Calibri" w:eastAsia="Calibri" w:hAnsi="Calibri"/>
          <w:b/>
          <w:bCs/>
          <w:sz w:val="21"/>
          <w:szCs w:val="21"/>
        </w:rPr>
        <w:t xml:space="preserve">equal sharing of profits and losses regardless of capital contributed</w:t>
      </w:r>
      <w:r>
        <w:rPr>
          <w:rFonts w:ascii="Calibri" w:cs="Calibri" w:eastAsia="Calibri" w:hAnsi="Calibri"/>
          <w:sz w:val="21"/>
          <w:szCs w:val="21"/>
        </w:rPr>
        <w:t xml:space="preserve">. Complete the table above rather than relying on that default.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Capital may not be withdrawn without the agreement of </w:t>
      </w:r>
      <w:r>
        <w:rPr>
          <w:rFonts w:ascii="Calibri" w:cs="Calibri" w:eastAsia="Calibri" w:hAnsi="Calibri"/>
          <w:b/>
          <w:bCs/>
          <w:sz w:val="21"/>
          <w:szCs w:val="21"/>
        </w:rPr>
        <w:t xml:space="preserve">[all partners]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Further capital shall be contributed only by agreement. A partner who does not contribute </w:t>
      </w:r>
      <w:r>
        <w:rPr>
          <w:rFonts w:ascii="Calibri" w:cs="Calibri" w:eastAsia="Calibri" w:hAnsi="Calibri"/>
          <w:b/>
          <w:bCs/>
          <w:sz w:val="21"/>
          <w:szCs w:val="21"/>
        </w:rPr>
        <w:t xml:space="preserve">[shall have their share adjusted as set out in Schedule 1 / shall not be adjusted]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PROFITS, DRAWINGS AND TAX</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Profits and losses are shared in the proportions above, determined after the annual accounts are prepared.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Partners may draw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monthly on account of profits. Drawings exceeding a partner’s share are repayable.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Each partner is taxed individually</w:t>
      </w:r>
      <w:r>
        <w:rPr>
          <w:rFonts w:ascii="Calibri" w:cs="Calibri" w:eastAsia="Calibri" w:hAnsi="Calibri"/>
          <w:sz w:val="21"/>
          <w:szCs w:val="21"/>
        </w:rPr>
        <w:t xml:space="preserve"> on their share of the income, at their own rate, whether or not distributed. The partnership itself is not taxed.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 partner is </w:t>
      </w:r>
      <w:r>
        <w:rPr>
          <w:rFonts w:ascii="Calibri" w:cs="Calibri" w:eastAsia="Calibri" w:hAnsi="Calibri"/>
          <w:b/>
          <w:bCs/>
          <w:sz w:val="21"/>
          <w:szCs w:val="21"/>
        </w:rPr>
        <w:t xml:space="preserve">not an employee</w:t>
      </w:r>
      <w:r>
        <w:rPr>
          <w:rFonts w:ascii="Calibri" w:cs="Calibri" w:eastAsia="Calibri" w:hAnsi="Calibri"/>
          <w:sz w:val="21"/>
          <w:szCs w:val="21"/>
        </w:rPr>
        <w:t xml:space="preserve"> and no CPF contributions are payable by the partnership for a partner. Partners who are citizens or permanent residents make their own contributions as self-employed persons where required.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partnership shall provide each partner with the information needed for their tax return within </w:t>
      </w:r>
      <w:r>
        <w:rPr>
          <w:rFonts w:ascii="Calibri" w:cs="Calibri" w:eastAsia="Calibri" w:hAnsi="Calibri"/>
          <w:b/>
          <w:bCs/>
          <w:sz w:val="21"/>
          <w:szCs w:val="21"/>
        </w:rPr>
        <w:t xml:space="preserve">[PERIOD]</w:t>
      </w:r>
      <w:r>
        <w:rPr>
          <w:rFonts w:ascii="Calibri" w:cs="Calibri" w:eastAsia="Calibri" w:hAnsi="Calibri"/>
          <w:sz w:val="21"/>
          <w:szCs w:val="21"/>
        </w:rPr>
        <w:t xml:space="preserve"> of the year end.</w:t>
      </w:r>
    </w:p>
    <w:p>
      <w:pPr>
        <w:keepNext/>
        <w:spacing w:after="120" w:before="280"/>
        <w:outlineLvl w:val="0"/>
      </w:pPr>
      <w:r>
        <w:rPr>
          <w:rFonts w:ascii="Calibri" w:cs="Calibri" w:eastAsia="Calibri" w:hAnsi="Calibri"/>
          <w:b/>
          <w:bCs/>
          <w:color w:val="14161B"/>
          <w:sz w:val="22"/>
          <w:szCs w:val="22"/>
        </w:rPr>
        <w:t xml:space="preserve">4. MANAGEMENT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Each partner shall devote </w:t>
      </w:r>
      <w:r>
        <w:rPr>
          <w:rFonts w:ascii="Calibri" w:cs="Calibri" w:eastAsia="Calibri" w:hAnsi="Calibri"/>
          <w:b/>
          <w:bCs/>
          <w:sz w:val="21"/>
          <w:szCs w:val="21"/>
        </w:rPr>
        <w:t xml:space="preserve">[their full time and attention / such time as agreed]</w:t>
      </w:r>
      <w:r>
        <w:rPr>
          <w:rFonts w:ascii="Calibri" w:cs="Calibri" w:eastAsia="Calibri" w:hAnsi="Calibri"/>
          <w:sz w:val="21"/>
          <w:szCs w:val="21"/>
        </w:rPr>
        <w:t xml:space="preserve"> to the business and shall act in good faith towards the others.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Decisions are taken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Decision</w:t>
            </w:r>
          </w:p>
        </w:tc>
        <w:tc>
          <w:tcPr>
            <w:tcW w:type="dxa" w:w="40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matters connected with the business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above S$ </w:t>
            </w:r>
            <w:r>
              <w:rPr>
                <w:rFonts w:ascii="Calibri" w:cs="Calibri" w:eastAsia="Calibri" w:hAnsi="Calibri"/>
                <w:b/>
                <w:bCs/>
                <w:sz w:val="18"/>
                <w:szCs w:val="18"/>
              </w:rPr>
              <w:t xml:space="preserve">[AMOUNT]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Borrowing, or giving any guarantee or security</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Admitting a new partner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r>
              <w:rPr>
                <w:rFonts w:ascii="Calibri" w:cs="Calibri" w:eastAsia="Calibri" w:hAnsi="Calibri"/>
                <w:sz w:val="18"/>
                <w:szCs w:val="18"/>
              </w:rPr>
              <w:t xml:space="preserve"> — this is the statutory default and should be kept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nature of the business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r>
              <w:rPr>
                <w:rFonts w:ascii="Calibri" w:cs="Calibri" w:eastAsia="Calibri" w:hAnsi="Calibri"/>
                <w:sz w:val="18"/>
                <w:szCs w:val="18"/>
              </w:rPr>
              <w:t xml:space="preserve"> — statutory default</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Expelling a partner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 excluding the partner concerned]</w:t>
            </w:r>
            <w:r>
              <w:rPr>
                <w:rFonts w:ascii="Calibri" w:cs="Calibri" w:eastAsia="Calibri" w:hAnsi="Calibri"/>
                <w:sz w:val="18"/>
                <w:szCs w:val="18"/>
              </w:rPr>
              <w:t xml:space="preserve"> — </w:t>
            </w:r>
            <w:r>
              <w:rPr>
                <w:rFonts w:ascii="Calibri" w:cs="Calibri" w:eastAsia="Calibri" w:hAnsi="Calibri"/>
                <w:i/>
                <w:iCs/>
                <w:sz w:val="18"/>
                <w:szCs w:val="18"/>
              </w:rPr>
              <w:t xml:space="preserve">no power exists unless the agreement gives one</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profit shares or this agreement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Dissolving the partnership</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bl>
    <w:p>
      <w:pPr>
        <w:spacing w:after="140"/>
      </w:pP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No partner shall, without the agreement of the others: borrow in the name of the partnership; give a guarantee; compromise a debt owed to the partnership; assign partnership property; or engage in a competing business.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Partners shall meet at least </w:t>
      </w:r>
      <w:r>
        <w:rPr>
          <w:rFonts w:ascii="Calibri" w:cs="Calibri" w:eastAsia="Calibri" w:hAnsi="Calibri"/>
          <w:b/>
          <w:bCs/>
          <w:sz w:val="21"/>
          <w:szCs w:val="21"/>
        </w:rPr>
        <w:t xml:space="preserve">[quarterly]</w:t>
      </w:r>
      <w:r>
        <w:rPr>
          <w:rFonts w:ascii="Calibri" w:cs="Calibri" w:eastAsia="Calibri" w:hAnsi="Calibri"/>
          <w:sz w:val="21"/>
          <w:szCs w:val="21"/>
        </w:rPr>
        <w:t xml:space="preserve"> and decisions shall be recorded.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CHANGES IN THE PARTNERSHIP</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Unless this agreement provides otherwise, a general partnership is </w:t>
      </w:r>
      <w:r>
        <w:rPr>
          <w:rFonts w:ascii="Calibri" w:cs="Calibri" w:eastAsia="Calibri" w:hAnsi="Calibri"/>
          <w:b/>
          <w:bCs/>
          <w:sz w:val="21"/>
          <w:szCs w:val="21"/>
        </w:rPr>
        <w:t xml:space="preserve">dissolved</w:t>
      </w:r>
      <w:r>
        <w:rPr>
          <w:rFonts w:ascii="Calibri" w:cs="Calibri" w:eastAsia="Calibri" w:hAnsi="Calibri"/>
          <w:sz w:val="21"/>
          <w:szCs w:val="21"/>
        </w:rPr>
        <w:t xml:space="preserve"> on the death, bankruptcy or retirement of a partner. This agreement provides that the partnership shall </w:t>
      </w:r>
      <w:r>
        <w:rPr>
          <w:rFonts w:ascii="Calibri" w:cs="Calibri" w:eastAsia="Calibri" w:hAnsi="Calibri"/>
          <w:b/>
          <w:bCs/>
          <w:sz w:val="21"/>
          <w:szCs w:val="21"/>
        </w:rPr>
        <w:t xml:space="preserve">continue</w:t>
      </w:r>
      <w:r>
        <w:rPr>
          <w:rFonts w:ascii="Calibri" w:cs="Calibri" w:eastAsia="Calibri" w:hAnsi="Calibri"/>
          <w:sz w:val="21"/>
          <w:szCs w:val="21"/>
        </w:rPr>
        <w:t xml:space="preserve"> between the remaining partners in those circumstances.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partner may retire on </w:t>
      </w:r>
      <w:r>
        <w:rPr>
          <w:rFonts w:ascii="Calibri" w:cs="Calibri" w:eastAsia="Calibri" w:hAnsi="Calibri"/>
          <w:b/>
          <w:bCs/>
          <w:sz w:val="21"/>
          <w:szCs w:val="21"/>
        </w:rPr>
        <w:t xml:space="preserve">[PERIOD]</w:t>
      </w:r>
      <w:r>
        <w:rPr>
          <w:rFonts w:ascii="Calibri" w:cs="Calibri" w:eastAsia="Calibri" w:hAnsi="Calibri"/>
          <w:sz w:val="21"/>
          <w:szCs w:val="21"/>
        </w:rPr>
        <w:t xml:space="preserve"> written notice.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partner may be expelled where they </w:t>
      </w:r>
      <w:r>
        <w:rPr>
          <w:rFonts w:ascii="Calibri" w:cs="Calibri" w:eastAsia="Calibri" w:hAnsi="Calibri"/>
          <w:b/>
          <w:bCs/>
          <w:sz w:val="21"/>
          <w:szCs w:val="21"/>
        </w:rPr>
        <w:t xml:space="preserve">[commit a material breach not remedied within ______ days / are convicted of an offence involving dishonesty / become bankrupt / are unable to perform their duties for more than ______ months]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On a partner ceasing to be a partner: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their capital account shall be settled on the basis in Schedule 2, payable </w:t>
      </w:r>
      <w:r>
        <w:rPr>
          <w:rFonts w:ascii="Calibri" w:cs="Calibri" w:eastAsia="Calibri" w:hAnsi="Calibri"/>
          <w:b/>
          <w:bCs/>
          <w:sz w:val="21"/>
          <w:szCs w:val="21"/>
        </w:rPr>
        <w:t xml:space="preserve">[in ______ instalments over ______ months]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their share of profits to the cessation date shall be computed and paid;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they remain liable for obligations incurred while a partner;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notice of the change shall be lodged with the Registrar and given to customers, suppliers and the bank</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Clause 5.4(d) is not administrative. A former partner can remain liable to anyone dealing with the firm who has no notice of the retirement — giving actual notice is what ends that exposure.</w:t>
      </w:r>
    </w:p>
    <w:p>
      <w:pPr>
        <w:keepNext/>
        <w:spacing w:after="120" w:before="280"/>
        <w:outlineLvl w:val="0"/>
      </w:pPr>
      <w:r>
        <w:rPr>
          <w:rFonts w:ascii="Calibri" w:cs="Calibri" w:eastAsia="Calibri" w:hAnsi="Calibri"/>
          <w:b/>
          <w:bCs/>
          <w:color w:val="14161B"/>
          <w:sz w:val="22"/>
          <w:szCs w:val="22"/>
        </w:rPr>
        <w:t xml:space="preserve">6. RESTRICTIVE COVENANTS AND CONFIDENTIALITY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For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ceasing to be a partner, a former partner shall not, within </w:t>
      </w:r>
      <w:r>
        <w:rPr>
          <w:rFonts w:ascii="Calibri" w:cs="Calibri" w:eastAsia="Calibri" w:hAnsi="Calibri"/>
          <w:b/>
          <w:bCs/>
          <w:sz w:val="21"/>
          <w:szCs w:val="21"/>
        </w:rPr>
        <w:t xml:space="preserve">[AREA]</w:t>
      </w:r>
      <w:r>
        <w:rPr>
          <w:rFonts w:ascii="Calibri" w:cs="Calibri" w:eastAsia="Calibri" w:hAnsi="Calibri"/>
          <w:sz w:val="21"/>
          <w:szCs w:val="21"/>
        </w:rPr>
        <w:t xml:space="preserve">, solicit or deal with any client of the partnership with whom they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cessation, in connection with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 nor solicit any partner or employee with whom they worked in that period.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restriction is separate. </w:t>
      </w:r>
      <w:r>
        <w:rPr>
          <w:rFonts w:ascii="Calibri" w:cs="Calibri" w:eastAsia="Calibri" w:hAnsi="Calibri"/>
          <w:i/>
          <w:iCs/>
          <w:sz w:val="21"/>
          <w:szCs w:val="21"/>
        </w:rPr>
        <w:t xml:space="preserve">Restraints are enforceable in Singapore only so far as reasonable, and an over-broad covenant fails entirely — complete each blank narrowly.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Confidentiality obligations continue without limit of time.</w:t>
      </w:r>
    </w:p>
    <w:p>
      <w:pPr>
        <w:keepNext/>
        <w:spacing w:after="120" w:before="280"/>
        <w:outlineLvl w:val="0"/>
      </w:pPr>
      <w:r>
        <w:rPr>
          <w:rFonts w:ascii="Calibri" w:cs="Calibri" w:eastAsia="Calibri" w:hAnsi="Calibri"/>
          <w:b/>
          <w:bCs/>
          <w:color w:val="14161B"/>
          <w:sz w:val="22"/>
          <w:szCs w:val="22"/>
        </w:rPr>
        <w:t xml:space="preserve">7. DISSOLUTION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On dissolution, the assets shall be applied to pay creditors, then to repay partners’ advances, then capital, and any surplus distributed in profit-sharing proportions.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Where assets are insufficient, the deficiency is borne by the partners in their loss-sharing proportions — </w:t>
      </w:r>
      <w:r>
        <w:rPr>
          <w:rFonts w:ascii="Calibri" w:cs="Calibri" w:eastAsia="Calibri" w:hAnsi="Calibri"/>
          <w:b/>
          <w:bCs/>
          <w:sz w:val="21"/>
          <w:szCs w:val="21"/>
        </w:rPr>
        <w:t xml:space="preserve">and creditors may pursue any partner personally for the full shortfall</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supersedes the default provisions of the Partnership Act to the extent of any inconsistency.</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Disputes shall be referred to </w:t>
      </w:r>
      <w:r>
        <w:rPr>
          <w:rFonts w:ascii="Calibri" w:cs="Calibri" w:eastAsia="Calibri" w:hAnsi="Calibri"/>
          <w:b/>
          <w:bCs/>
          <w:sz w:val="21"/>
          <w:szCs w:val="21"/>
        </w:rPr>
        <w:t xml:space="preserve">[mediation at ______]</w:t>
      </w:r>
      <w:r>
        <w:rPr>
          <w:rFonts w:ascii="Calibri" w:cs="Calibri" w:eastAsia="Calibri" w:hAnsi="Calibri"/>
          <w:sz w:val="21"/>
          <w:szCs w:val="21"/>
        </w:rPr>
        <w:t xml:space="preserve"> before proceedings.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This agreement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Partner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Partner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Should This Be a Partnership at All?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1349"/>
        <w:gridCol w:w="3857"/>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If yes, consider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the partners want protection from each other’s acts and debts?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LLP or company</w:t>
            </w:r>
            <w:r>
              <w:rPr>
                <w:rFonts w:ascii="Calibri" w:cs="Calibri" w:eastAsia="Calibri" w:hAnsi="Calibri"/>
                <w:sz w:val="18"/>
                <w:szCs w:val="18"/>
              </w:rPr>
              <w:t xml:space="preserve"> — a general partnership gives none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Will the business have employees, premises or significant contracts?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LLP or company — the exposure is real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Will external equity be raised?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this a professional practice?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LLP is usually the better fit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business carrying meaningful liability risk?</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LLP or company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only reason for a partnership simplicity or cost?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saving is small; the exposure is unlimited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all partners understand joint liability?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not, explain it before signing</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Compliance Calendar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registration renewed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renewal cycle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Changes to partners or particulars notified to the Registrar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 ordinarily resident in Singapore maintained, where required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maintained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Partners provided with tax information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year end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partner files their own return including their share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 the individual deadline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GST registration assessed against the threshold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there are employees: KETs, payslips, CPF, work injury insurance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indemnity and public liability insurance reviewed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Partnership meetings held and recorded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to convert to an LLP or company reviewed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Consider whether you should be a partnership at all</w:t>
      </w:r>
    </w:p>
    <w:p>
      <w:pPr>
        <w:spacing w:after="60" w:line="264"/>
        <w:jc w:val="both"/>
      </w:pPr>
      <w:r>
        <w:rPr>
          <w:rFonts w:ascii="Calibri" w:cs="Calibri" w:eastAsia="Calibri" w:hAnsi="Calibri"/>
          <w:sz w:val="19"/>
          <w:szCs w:val="19"/>
        </w:rPr>
        <w:t xml:space="preserve">Unlimited joint liability means each partner’s personal assets stand behind the whole of the firm’s debts, including debts incurred by another partner without their knowledge. The compliance saving over an LLP is modest. Annexure A is placed at the front of the annexures deliberately — work through it before signing.</w:t>
      </w:r>
    </w:p>
    <w:p>
      <w:pPr>
        <w:keepNext/>
        <w:spacing w:after="40" w:before="140"/>
      </w:pPr>
      <w:r>
        <w:rPr>
          <w:rFonts w:ascii="Calibri" w:cs="Calibri" w:eastAsia="Calibri" w:hAnsi="Calibri"/>
          <w:b/>
          <w:bCs/>
          <w:color w:val="14161B"/>
          <w:sz w:val="20"/>
          <w:szCs w:val="20"/>
        </w:rPr>
        <w:t xml:space="preserve">Every partner binds the others</w:t>
      </w:r>
    </w:p>
    <w:p>
      <w:pPr>
        <w:spacing w:after="60" w:line="264"/>
        <w:jc w:val="both"/>
      </w:pPr>
      <w:r>
        <w:rPr>
          <w:rFonts w:ascii="Calibri" w:cs="Calibri" w:eastAsia="Calibri" w:hAnsi="Calibri"/>
          <w:sz w:val="19"/>
          <w:szCs w:val="19"/>
        </w:rPr>
        <w:t xml:space="preserve">A partner acting in the ordinary course of the business binds the firm and every other partner, whether or not they were consulted. Clause 4.3 restricts what partners may do internally, but that restriction does not protect the firm against a third party who had no notice of it.</w:t>
      </w:r>
    </w:p>
    <w:p>
      <w:pPr>
        <w:keepNext/>
        <w:spacing w:after="40" w:before="140"/>
      </w:pPr>
      <w:r>
        <w:rPr>
          <w:rFonts w:ascii="Calibri" w:cs="Calibri" w:eastAsia="Calibri" w:hAnsi="Calibri"/>
          <w:b/>
          <w:bCs/>
          <w:color w:val="14161B"/>
          <w:sz w:val="20"/>
          <w:szCs w:val="20"/>
        </w:rPr>
        <w:t xml:space="preserve">The Partnership Act defaults are usually wrong</w:t>
      </w:r>
    </w:p>
    <w:p>
      <w:pPr>
        <w:spacing w:after="60" w:line="264"/>
        <w:jc w:val="both"/>
      </w:pPr>
      <w:r>
        <w:rPr>
          <w:rFonts w:ascii="Calibri" w:cs="Calibri" w:eastAsia="Calibri" w:hAnsi="Calibri"/>
          <w:sz w:val="19"/>
          <w:szCs w:val="19"/>
        </w:rPr>
        <w:t xml:space="preserve">Absent agreement, profits and losses are shared equally regardless of capital contributed, and the partnership dissolves on the death, bankruptcy or retirement of any partner. Both defaults surprise people. Clauses 2.1 and 5.1 displace them, and the table in Section 2 must actually be completed.</w:t>
      </w:r>
    </w:p>
    <w:p>
      <w:pPr>
        <w:keepNext/>
        <w:spacing w:after="40" w:before="140"/>
      </w:pPr>
      <w:r>
        <w:rPr>
          <w:rFonts w:ascii="Calibri" w:cs="Calibri" w:eastAsia="Calibri" w:hAnsi="Calibri"/>
          <w:b/>
          <w:bCs/>
          <w:color w:val="14161B"/>
          <w:sz w:val="20"/>
          <w:szCs w:val="20"/>
        </w:rPr>
        <w:t xml:space="preserve">There is no power to expel unless you create one</w:t>
      </w:r>
    </w:p>
    <w:p>
      <w:pPr>
        <w:spacing w:after="60" w:line="264"/>
        <w:jc w:val="both"/>
      </w:pPr>
      <w:r>
        <w:rPr>
          <w:rFonts w:ascii="Calibri" w:cs="Calibri" w:eastAsia="Calibri" w:hAnsi="Calibri"/>
          <w:sz w:val="19"/>
          <w:szCs w:val="19"/>
        </w:rPr>
        <w:t xml:space="preserve">The Act gives no right to expel a partner. Without an express provision, a partnership with an impossible partner has no mechanism short of dissolution. Clause 5.3 supplies one, and the grounds should be specific rather than discretionary.</w:t>
      </w:r>
    </w:p>
    <w:p>
      <w:pPr>
        <w:keepNext/>
        <w:spacing w:after="40" w:before="140"/>
      </w:pPr>
      <w:r>
        <w:rPr>
          <w:rFonts w:ascii="Calibri" w:cs="Calibri" w:eastAsia="Calibri" w:hAnsi="Calibri"/>
          <w:b/>
          <w:bCs/>
          <w:color w:val="14161B"/>
          <w:sz w:val="20"/>
          <w:szCs w:val="20"/>
        </w:rPr>
        <w:t xml:space="preserve">Retiring partners stay liable — give actual notice</w:t>
      </w:r>
    </w:p>
    <w:p>
      <w:pPr>
        <w:spacing w:after="60" w:line="264"/>
        <w:jc w:val="both"/>
      </w:pPr>
      <w:r>
        <w:rPr>
          <w:rFonts w:ascii="Calibri" w:cs="Calibri" w:eastAsia="Calibri" w:hAnsi="Calibri"/>
          <w:sz w:val="19"/>
          <w:szCs w:val="19"/>
        </w:rPr>
        <w:t xml:space="preserve">A former partner remains liable for obligations incurred while a partner, and may continue to be liable to anyone dealing with the firm who has no notice of the retirement. Notifying the Registrar, customers, suppliers and the bank is what ends the ongoing exposure. Clause 5.5 flags it; it is the most important practical step on a departure.</w:t>
      </w:r>
    </w:p>
    <w:p>
      <w:pPr>
        <w:keepNext/>
        <w:spacing w:after="40" w:before="140"/>
      </w:pPr>
      <w:r>
        <w:rPr>
          <w:rFonts w:ascii="Calibri" w:cs="Calibri" w:eastAsia="Calibri" w:hAnsi="Calibri"/>
          <w:b/>
          <w:bCs/>
          <w:color w:val="14161B"/>
          <w:sz w:val="20"/>
          <w:szCs w:val="20"/>
        </w:rPr>
        <w:t xml:space="preserve">Transparent taxation, individually assessed</w:t>
      </w:r>
    </w:p>
    <w:p>
      <w:pPr>
        <w:spacing w:after="60" w:line="264"/>
        <w:jc w:val="both"/>
      </w:pPr>
      <w:r>
        <w:rPr>
          <w:rFonts w:ascii="Calibri" w:cs="Calibri" w:eastAsia="Calibri" w:hAnsi="Calibri"/>
          <w:sz w:val="19"/>
          <w:szCs w:val="19"/>
        </w:rPr>
        <w:t xml:space="preserve">The partnership pays no tax; each partner is taxed on their share at their own rate, whether or not it is distributed. A partner who leaves profits in the business is still taxed on them. Partners frequently discover this in their first assessment.</w:t>
      </w:r>
    </w:p>
    <w:p>
      <w:pPr>
        <w:keepNext/>
        <w:spacing w:after="40" w:before="140"/>
      </w:pPr>
      <w:r>
        <w:rPr>
          <w:rFonts w:ascii="Calibri" w:cs="Calibri" w:eastAsia="Calibri" w:hAnsi="Calibri"/>
          <w:b/>
          <w:bCs/>
          <w:color w:val="14161B"/>
          <w:sz w:val="20"/>
          <w:szCs w:val="20"/>
        </w:rPr>
        <w:t xml:space="preserve">No CPF for partners</w:t>
      </w:r>
    </w:p>
    <w:p>
      <w:pPr>
        <w:spacing w:after="60" w:line="264"/>
        <w:jc w:val="both"/>
      </w:pPr>
      <w:r>
        <w:rPr>
          <w:rFonts w:ascii="Calibri" w:cs="Calibri" w:eastAsia="Calibri" w:hAnsi="Calibri"/>
          <w:sz w:val="19"/>
          <w:szCs w:val="19"/>
        </w:rPr>
        <w:t xml:space="preserve">Partners are not employees. The partnership makes no contributions for them, and citizens and permanent residents handle their own as self-employed persons where required. Where the firm has employees, full employer obligations apply to those employees.</w:t>
      </w:r>
    </w:p>
    <w:p>
      <w:pPr>
        <w:keepNext/>
        <w:spacing w:after="40" w:before="140"/>
      </w:pPr>
      <w:r>
        <w:rPr>
          <w:rFonts w:ascii="Calibri" w:cs="Calibri" w:eastAsia="Calibri" w:hAnsi="Calibri"/>
          <w:b/>
          <w:bCs/>
          <w:color w:val="14161B"/>
          <w:sz w:val="20"/>
          <w:szCs w:val="20"/>
        </w:rPr>
        <w:t xml:space="preserve">Twenty partner maximum</w:t>
      </w:r>
    </w:p>
    <w:p>
      <w:pPr>
        <w:spacing w:after="60" w:line="264"/>
        <w:jc w:val="both"/>
      </w:pPr>
      <w:r>
        <w:rPr>
          <w:rFonts w:ascii="Calibri" w:cs="Calibri" w:eastAsia="Calibri" w:hAnsi="Calibri"/>
          <w:sz w:val="19"/>
          <w:szCs w:val="19"/>
        </w:rPr>
        <w:t xml:space="preserve">A general partnership is limited to twenty partners, with limited exceptions for certain professions. Beyond that the structure must change, which is another reason growing practices move to an LLP.</w:t>
      </w:r>
    </w:p>
    <w:p>
      <w:pPr>
        <w:keepNext/>
        <w:spacing w:after="40" w:before="140"/>
      </w:pPr>
      <w:r>
        <w:rPr>
          <w:rFonts w:ascii="Calibri" w:cs="Calibri" w:eastAsia="Calibri" w:hAnsi="Calibri"/>
          <w:b/>
          <w:bCs/>
          <w:color w:val="14161B"/>
          <w:sz w:val="20"/>
          <w:szCs w:val="20"/>
        </w:rPr>
        <w:t xml:space="preserve">A resident manager is needed where partners are foreign</w:t>
      </w:r>
    </w:p>
    <w:p>
      <w:pPr>
        <w:spacing w:after="60" w:line="264"/>
        <w:jc w:val="both"/>
      </w:pPr>
      <w:r>
        <w:rPr>
          <w:rFonts w:ascii="Calibri" w:cs="Calibri" w:eastAsia="Calibri" w:hAnsi="Calibri"/>
          <w:sz w:val="19"/>
          <w:szCs w:val="19"/>
        </w:rPr>
        <w:t xml:space="preserve">Where all the partners are ordinarily resident outside Singapore, a manager ordinarily resident in Singapore must be appointed. That person carries responsibility for the firm’s compliance.</w:t>
      </w:r>
    </w:p>
    <w:p>
      <w:pPr>
        <w:keepNext/>
        <w:spacing w:after="40" w:before="140"/>
      </w:pPr>
      <w:r>
        <w:rPr>
          <w:rFonts w:ascii="Calibri" w:cs="Calibri" w:eastAsia="Calibri" w:hAnsi="Calibri"/>
          <w:b/>
          <w:bCs/>
          <w:color w:val="14161B"/>
          <w:sz w:val="20"/>
          <w:szCs w:val="20"/>
        </w:rPr>
        <w:t xml:space="preserve">Insurance matters more here than anywhere</w:t>
      </w:r>
    </w:p>
    <w:p>
      <w:pPr>
        <w:spacing w:after="60" w:line="264"/>
        <w:jc w:val="both"/>
      </w:pPr>
      <w:r>
        <w:rPr>
          <w:rFonts w:ascii="Calibri" w:cs="Calibri" w:eastAsia="Calibri" w:hAnsi="Calibri"/>
          <w:sz w:val="19"/>
          <w:szCs w:val="19"/>
        </w:rPr>
        <w:t xml:space="preserve">With no liability shield, professional indemnity and public liability insurance are the only meaningful protection the partners have. Review the levels annually and against the actual exposure, not against the premium.</w:t>
      </w:r>
    </w:p>
    <w:p>
      <w:pPr>
        <w:keepNext/>
        <w:spacing w:after="40" w:before="140"/>
      </w:pPr>
      <w:r>
        <w:rPr>
          <w:rFonts w:ascii="Calibri" w:cs="Calibri" w:eastAsia="Calibri" w:hAnsi="Calibri"/>
          <w:b/>
          <w:bCs/>
          <w:color w:val="14161B"/>
          <w:sz w:val="20"/>
          <w:szCs w:val="20"/>
        </w:rPr>
        <w:t xml:space="preserve">Settle exit terms in advance</w:t>
      </w:r>
    </w:p>
    <w:p>
      <w:pPr>
        <w:spacing w:after="60" w:line="264"/>
        <w:jc w:val="both"/>
      </w:pPr>
      <w:r>
        <w:rPr>
          <w:rFonts w:ascii="Calibri" w:cs="Calibri" w:eastAsia="Calibri" w:hAnsi="Calibri"/>
          <w:sz w:val="19"/>
          <w:szCs w:val="19"/>
        </w:rPr>
        <w:t xml:space="preserve">Capital account settlement, valuation basis and payment timing should be agreed at the outset in Schedule 2. Departures in partnerships are frequently acrimonious, and a formula agreed while everyone is content is worth a great deal later.</w:t>
      </w:r>
    </w:p>
    <w:p>
      <w:pPr>
        <w:keepNext/>
        <w:spacing w:after="40" w:before="140"/>
      </w:pPr>
      <w:r>
        <w:rPr>
          <w:rFonts w:ascii="Calibri" w:cs="Calibri" w:eastAsia="Calibri" w:hAnsi="Calibri"/>
          <w:b/>
          <w:bCs/>
          <w:color w:val="14161B"/>
          <w:sz w:val="20"/>
          <w:szCs w:val="20"/>
        </w:rPr>
        <w:t xml:space="preserve">Covenants must be reasonable</w:t>
      </w:r>
    </w:p>
    <w:p>
      <w:pPr>
        <w:spacing w:after="60" w:line="264"/>
        <w:jc w:val="both"/>
      </w:pPr>
      <w:r>
        <w:rPr>
          <w:rFonts w:ascii="Calibri" w:cs="Calibri" w:eastAsia="Calibri" w:hAnsi="Calibri"/>
          <w:sz w:val="19"/>
          <w:szCs w:val="19"/>
        </w:rPr>
        <w:t xml:space="preserve">Restraints are enforceable only so far as reasonable, and an over-broad covenant fails entirely rather than being read down. Match the restricted business and the area to what the partner actually did and where the firm actually operates.</w:t>
      </w:r>
    </w:p>
    <w:p>
      <w:pPr>
        <w:keepNext/>
        <w:spacing w:after="40" w:before="140"/>
      </w:pPr>
      <w:r>
        <w:rPr>
          <w:rFonts w:ascii="Calibri" w:cs="Calibri" w:eastAsia="Calibri" w:hAnsi="Calibri"/>
          <w:b/>
          <w:bCs/>
          <w:color w:val="14161B"/>
          <w:sz w:val="20"/>
          <w:szCs w:val="20"/>
        </w:rPr>
        <w:t xml:space="preserve">Keep records even though few are required</w:t>
      </w:r>
    </w:p>
    <w:p>
      <w:pPr>
        <w:spacing w:after="60" w:line="264"/>
        <w:jc w:val="both"/>
      </w:pPr>
      <w:r>
        <w:rPr>
          <w:rFonts w:ascii="Calibri" w:cs="Calibri" w:eastAsia="Calibri" w:hAnsi="Calibri"/>
          <w:sz w:val="19"/>
          <w:szCs w:val="19"/>
        </w:rPr>
        <w:t xml:space="preserve">The filing burden is light, which leads partnerships to keep almost nothing. Decisions above the agreed thresholds should be recorded, and accounting records must be sufficient to compute each partner’s share. The absence of records is what makes partnership disputes so difficult to resolve.</w:t>
      </w:r>
    </w:p>
    <w:p>
      <w:pPr>
        <w:keepNext/>
        <w:spacing w:after="40" w:before="140"/>
      </w:pPr>
      <w:r>
        <w:rPr>
          <w:rFonts w:ascii="Calibri" w:cs="Calibri" w:eastAsia="Calibri" w:hAnsi="Calibri"/>
          <w:b/>
          <w:bCs/>
          <w:color w:val="14161B"/>
          <w:sz w:val="20"/>
          <w:szCs w:val="20"/>
        </w:rPr>
        <w:t xml:space="preserve">Review the structure annually</w:t>
      </w:r>
    </w:p>
    <w:p>
      <w:pPr>
        <w:spacing w:after="60" w:line="264"/>
        <w:jc w:val="both"/>
      </w:pPr>
      <w:r>
        <w:rPr>
          <w:rFonts w:ascii="Calibri" w:cs="Calibri" w:eastAsia="Calibri" w:hAnsi="Calibri"/>
          <w:sz w:val="19"/>
          <w:szCs w:val="19"/>
        </w:rPr>
        <w:t xml:space="preserve">Item 11 of the calendar asks whether the partnership should convert. Businesses grow into liability exposure gradually, and the point at which a partnership stopped being appropriate is usually visible only in hindsight.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Partnership Act defaults, business registration and notification requirements, and the tax treatment of partnership income all change — take legal advice before forming a general partnership, and specifically on whether an LLP or company would serve better.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2026-08-22T06:55:30.908Z</dcterms:created>
  <dcterms:modified xsi:type="dcterms:W3CDTF">2026-08-22T06:55:30.908Z</dcterms:modified>
</cp:coreProperties>
</file>

<file path=docProps/custom.xml><?xml version="1.0" encoding="utf-8"?>
<Properties xmlns="http://schemas.openxmlformats.org/officeDocument/2006/custom-properties" xmlns:vt="http://schemas.openxmlformats.org/officeDocument/2006/docPropsVTypes"/>
</file>