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footer+xml" PartName="/word/footer6.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OPTION POOL</w:t>
      </w:r>
    </w:p>
    <w:p>
      <w:pPr>
        <w:spacing w:after="260"/>
        <w:jc w:val="center"/>
      </w:pPr>
      <w:r>
        <w:rPr>
          <w:rFonts w:ascii="Calibri" w:cs="Calibri" w:eastAsia="Calibri" w:hAnsi="Calibri"/>
          <w:i/>
          <w:iCs/>
          <w:color w:val="6E7480"/>
          <w:sz w:val="19"/>
          <w:szCs w:val="19"/>
        </w:rPr>
        <w:t xml:space="preserve">Creation, top-up and cap table effect</w:t>
      </w:r>
    </w:p>
    <w:p>
      <w:pPr>
        <w:spacing w:after="180" w:before="0" w:line="276"/>
        <w:jc w:val="both"/>
      </w:pPr>
      <w:r>
        <w:rPr>
          <w:rFonts w:ascii="Calibri" w:cs="Calibri" w:eastAsia="Calibri" w:hAnsi="Calibri"/>
          <w:i/>
          <w:iCs/>
          <w:color w:val="6E7480"/>
          <w:sz w:val="21"/>
          <w:szCs w:val="21"/>
        </w:rPr>
        <w:t xml:space="preserve">The question that decides everything here is whether the pool is created </w:t>
      </w:r>
      <w:r>
        <w:rPr>
          <w:rFonts w:ascii="Calibri" w:cs="Calibri" w:eastAsia="Calibri" w:hAnsi="Calibri"/>
          <w:b/>
          <w:bCs/>
          <w:i/>
          <w:iCs/>
          <w:color w:val="6E7480"/>
          <w:sz w:val="21"/>
          <w:szCs w:val="21"/>
        </w:rPr>
        <w:t xml:space="preserve">before</w:t>
      </w:r>
      <w:r>
        <w:rPr>
          <w:rFonts w:ascii="Calibri" w:cs="Calibri" w:eastAsia="Calibri" w:hAnsi="Calibri"/>
          <w:i/>
          <w:iCs/>
          <w:color w:val="6E7480"/>
          <w:sz w:val="21"/>
          <w:szCs w:val="21"/>
        </w:rPr>
        <w:t xml:space="preserve"> or </w:t>
      </w:r>
      <w:r>
        <w:rPr>
          <w:rFonts w:ascii="Calibri" w:cs="Calibri" w:eastAsia="Calibri" w:hAnsi="Calibri"/>
          <w:b/>
          <w:bCs/>
          <w:i/>
          <w:iCs/>
          <w:color w:val="6E7480"/>
          <w:sz w:val="21"/>
          <w:szCs w:val="21"/>
        </w:rPr>
        <w:t xml:space="preserve">after</w:t>
      </w:r>
      <w:r>
        <w:rPr>
          <w:rFonts w:ascii="Calibri" w:cs="Calibri" w:eastAsia="Calibri" w:hAnsi="Calibri"/>
          <w:i/>
          <w:iCs/>
          <w:color w:val="6E7480"/>
          <w:sz w:val="21"/>
          <w:szCs w:val="21"/>
        </w:rPr>
        <w:t xml:space="preserve"> a financing round. A pool carved out pre-money dilutes only the existing shareholders; one created post-money dilutes everyone including the incoming investor. Investors know this. Founders frequently discover it after the term sheet is signed.</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469"/>
        <w:gridCol w:w="6169"/>
      </w:tblGrid>
      <w:tr>
        <w:trPr>
          <w:tblHeader/>
        </w:trPr>
        <w:tc>
          <w:tcPr>
            <w:tcW w:type="dxa" w:w="34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61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Company</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[COMPANY NAME]</w:t>
            </w:r>
            <w:r>
              <w:rPr>
                <w:rFonts w:ascii="Calibri" w:cs="Calibri" w:eastAsia="Calibri" w:hAnsi="Calibri"/>
                <w:sz w:val="19"/>
                <w:szCs w:val="19"/>
              </w:rPr>
              <w:t xml:space="preserve">, UEN </w:t>
            </w:r>
            <w:r>
              <w:rPr>
                <w:rFonts w:ascii="Calibri" w:cs="Calibri" w:eastAsia="Calibri" w:hAnsi="Calibri"/>
                <w:b/>
                <w:bCs/>
                <w:sz w:val="19"/>
                <w:szCs w:val="19"/>
              </w:rPr>
              <w:t xml:space="preserve">[UEN]</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Scheme</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[SCHEME NAME]</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Existing pool</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r>
              <w:rPr>
                <w:rFonts w:ascii="Calibri" w:cs="Calibri" w:eastAsia="Calibri" w:hAnsi="Calibri"/>
                <w:sz w:val="19"/>
                <w:szCs w:val="19"/>
              </w:rPr>
              <w:t xml:space="preserve"> shares</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Granted to date</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Exercised to date</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Lapsed and returned to the pool</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Available for grant</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Proposed increase</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r>
              <w:rPr>
                <w:rFonts w:ascii="Calibri" w:cs="Calibri" w:eastAsia="Calibri" w:hAnsi="Calibri"/>
                <w:sz w:val="19"/>
                <w:szCs w:val="19"/>
              </w:rPr>
              <w:t xml:space="preserve"> shares</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Pool after increase</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r>
              <w:rPr>
                <w:rFonts w:ascii="Calibri" w:cs="Calibri" w:eastAsia="Calibri" w:hAnsi="Calibri"/>
                <w:sz w:val="19"/>
                <w:szCs w:val="19"/>
              </w:rPr>
              <w:t xml:space="preserve"> shares, </w:t>
            </w:r>
            <w:r>
              <w:rPr>
                <w:rFonts w:ascii="Calibri" w:cs="Calibri" w:eastAsia="Calibri" w:hAnsi="Calibri"/>
                <w:b/>
                <w:bCs/>
                <w:sz w:val="19"/>
                <w:szCs w:val="19"/>
              </w:rPr>
              <w:t xml:space="preserve">[PERCENTAGE]</w:t>
            </w:r>
            <w:r>
              <w:rPr>
                <w:rFonts w:ascii="Calibri" w:cs="Calibri" w:eastAsia="Calibri" w:hAnsi="Calibri"/>
                <w:sz w:val="19"/>
                <w:szCs w:val="19"/>
              </w:rPr>
              <w:t xml:space="preserve"> fully diluted</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Pre-money or post-money?</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[Pre-money — dilutes existing holders only / Post-money — dilutes everyone]</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Approval required</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[Members’ ordinary resolution / Investor consent under the shareholders’ agreement]</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Approved on</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bl>
    <w:p>
      <w:pPr>
        <w:spacing w:after="180"/>
      </w:pPr>
    </w:p>
    <w:p>
      <w:pPr>
        <w:keepNext/>
        <w:spacing w:after="120" w:before="280"/>
        <w:outlineLvl w:val="0"/>
      </w:pPr>
      <w:r>
        <w:rPr>
          <w:rFonts w:ascii="Calibri" w:cs="Calibri" w:eastAsia="Calibri" w:hAnsi="Calibri"/>
          <w:b/>
          <w:bCs/>
          <w:color w:val="14161B"/>
          <w:sz w:val="22"/>
          <w:szCs w:val="22"/>
        </w:rPr>
        <w:t xml:space="preserve">1. SIZING THE POOL</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120"/>
        <w:gridCol w:w="2891"/>
        <w:gridCol w:w="4627"/>
      </w:tblGrid>
      <w:tr>
        <w:trPr>
          <w:tblHeader/>
        </w:trPr>
        <w:tc>
          <w:tcPr>
            <w:tcW w:type="dxa" w:w="212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Stage</w:t>
            </w:r>
          </w:p>
        </w:tc>
        <w:tc>
          <w:tcPr>
            <w:tcW w:type="dxa" w:w="289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Typical pool, fully diluted</w:t>
            </w:r>
          </w:p>
        </w:tc>
        <w:tc>
          <w:tcPr>
            <w:tcW w:type="dxa" w:w="462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What it needs to cover</w:t>
            </w:r>
          </w:p>
        </w:tc>
      </w:tr>
      <w:t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Pre-seed / founding</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[5–10]</w:t>
            </w:r>
            <w:r>
              <w:rPr>
                <w:rFonts w:ascii="Calibri" w:cs="Calibri" w:eastAsia="Calibri" w:hAnsi="Calibri"/>
                <w:sz w:val="18"/>
                <w:szCs w:val="18"/>
              </w:rPr>
              <w:t xml:space="preserve"> per cent</w:t>
            </w:r>
          </w:p>
        </w:tc>
        <w:tc>
          <w:tcPr>
            <w:tcW w:type="dxa" w:w="462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First few hires; advisers</w:t>
            </w:r>
          </w:p>
        </w:tc>
      </w:tr>
      <w:t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Seed</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[10–15]</w:t>
            </w:r>
            <w:r>
              <w:rPr>
                <w:rFonts w:ascii="Calibri" w:cs="Calibri" w:eastAsia="Calibri" w:hAnsi="Calibri"/>
                <w:sz w:val="18"/>
                <w:szCs w:val="18"/>
              </w:rPr>
              <w:t xml:space="preserve"> per cent</w:t>
            </w:r>
          </w:p>
        </w:tc>
        <w:tc>
          <w:tcPr>
            <w:tcW w:type="dxa" w:w="462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Early team through to the next round</w:t>
            </w:r>
          </w:p>
        </w:tc>
      </w:tr>
      <w:t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Series A</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[10–15]</w:t>
            </w:r>
            <w:r>
              <w:rPr>
                <w:rFonts w:ascii="Calibri" w:cs="Calibri" w:eastAsia="Calibri" w:hAnsi="Calibri"/>
                <w:sz w:val="18"/>
                <w:szCs w:val="18"/>
              </w:rPr>
              <w:t xml:space="preserve"> per cent</w:t>
            </w:r>
          </w:p>
        </w:tc>
        <w:tc>
          <w:tcPr>
            <w:tcW w:type="dxa" w:w="462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Senior hires; refresh grants for existing team</w:t>
            </w:r>
          </w:p>
        </w:tc>
      </w:tr>
      <w:t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Later rounds</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[Top up to cover the next 18–24 months]</w:t>
            </w:r>
          </w:p>
        </w:tc>
        <w:tc>
          <w:tcPr>
            <w:tcW w:type="dxa" w:w="462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Executive hires; retention refreshes</w:t>
            </w:r>
          </w:p>
        </w:tc>
      </w:tr>
      <w:t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i/>
                <w:iCs/>
                <w:sz w:val="18"/>
                <w:szCs w:val="18"/>
              </w:rPr>
              <w:t xml:space="preserve">These are indicative ranges, not rules — a commercial decision; specify</w:t>
            </w:r>
          </w:p>
        </w:tc>
        <w:tc>
          <w:tcPr>
            <w:tcW w:type="dxa" w:w="462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t>
            </w:r>
          </w:p>
        </w:tc>
      </w:tr>
    </w:tbl>
    <w:p>
      <w:pPr>
        <w:spacing w:after="140"/>
      </w:pP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sz w:val="21"/>
          <w:szCs w:val="21"/>
        </w:rPr>
        <w:t xml:space="preserve">Size the pool against a </w:t>
      </w:r>
      <w:r>
        <w:rPr>
          <w:rFonts w:ascii="Calibri" w:cs="Calibri" w:eastAsia="Calibri" w:hAnsi="Calibri"/>
          <w:b/>
          <w:bCs/>
          <w:sz w:val="21"/>
          <w:szCs w:val="21"/>
        </w:rPr>
        <w:t xml:space="preserve">hiring plan</w:t>
      </w:r>
      <w:r>
        <w:rPr>
          <w:rFonts w:ascii="Calibri" w:cs="Calibri" w:eastAsia="Calibri" w:hAnsi="Calibri"/>
          <w:sz w:val="21"/>
          <w:szCs w:val="21"/>
        </w:rPr>
        <w:t xml:space="preserve">, not a percentage. List the roles to be filled before the next round, the grant each would need, and add a margin for refreshes and for grants already promised but not documented.</w:t>
      </w:r>
    </w:p>
    <w:p>
      <w:pPr>
        <w:spacing w:after="120" w:before="60" w:line="276"/>
        <w:ind w:left="720" w:hanging="720"/>
        <w:jc w:val="both"/>
      </w:pPr>
      <w:r>
        <w:rPr>
          <w:rFonts w:ascii="Calibri" w:cs="Calibri" w:eastAsia="Calibri" w:hAnsi="Calibri"/>
          <w:sz w:val="21"/>
          <w:szCs w:val="21"/>
        </w:rPr>
        <w:t xml:space="preserve">1.2	</w:t>
      </w:r>
      <w:r>
        <w:rPr>
          <w:rFonts w:ascii="Calibri" w:cs="Calibri" w:eastAsia="Calibri" w:hAnsi="Calibri"/>
          <w:sz w:val="21"/>
          <w:szCs w:val="21"/>
        </w:rPr>
        <w:t xml:space="preserve">A pool sized too large dilutes founders unnecessarily and leaves unallocated shares that investors will treat as issued in any event. Too small and the company runs out mid-round and has to seek approval at the worst moment.</w:t>
      </w:r>
    </w:p>
    <w:p>
      <w:pPr>
        <w:keepNext/>
        <w:spacing w:after="120" w:before="280"/>
        <w:outlineLvl w:val="0"/>
      </w:pPr>
      <w:r>
        <w:rPr>
          <w:rFonts w:ascii="Calibri" w:cs="Calibri" w:eastAsia="Calibri" w:hAnsi="Calibri"/>
          <w:b/>
          <w:bCs/>
          <w:color w:val="14161B"/>
          <w:sz w:val="22"/>
          <w:szCs w:val="22"/>
        </w:rPr>
        <w:t xml:space="preserve">2. PRE-MONEY AND POST-MONEY — THE POINT THAT MATTERS</w:t>
      </w:r>
    </w:p>
    <w:p>
      <w:pPr>
        <w:spacing w:after="120" w:before="60" w:line="276"/>
        <w:ind w:left="720" w:hanging="720"/>
        <w:jc w:val="both"/>
      </w:pPr>
      <w:r>
        <w:rPr>
          <w:rFonts w:ascii="Calibri" w:cs="Calibri" w:eastAsia="Calibri" w:hAnsi="Calibri"/>
          <w:sz w:val="21"/>
          <w:szCs w:val="21"/>
        </w:rPr>
        <w:t xml:space="preserve">2.1	</w:t>
      </w:r>
      <w:r>
        <w:rPr>
          <w:rFonts w:ascii="Calibri" w:cs="Calibri" w:eastAsia="Calibri" w:hAnsi="Calibri"/>
          <w:sz w:val="21"/>
          <w:szCs w:val="21"/>
        </w:rPr>
        <w:t xml:space="preserve">Where an investor requires the pool to be created or topped up </w:t>
      </w:r>
      <w:r>
        <w:rPr>
          <w:rFonts w:ascii="Calibri" w:cs="Calibri" w:eastAsia="Calibri" w:hAnsi="Calibri"/>
          <w:b/>
          <w:bCs/>
          <w:sz w:val="21"/>
          <w:szCs w:val="21"/>
        </w:rPr>
        <w:t xml:space="preserve">as part of</w:t>
      </w:r>
      <w:r>
        <w:rPr>
          <w:rFonts w:ascii="Calibri" w:cs="Calibri" w:eastAsia="Calibri" w:hAnsi="Calibri"/>
          <w:sz w:val="21"/>
          <w:szCs w:val="21"/>
        </w:rPr>
        <w:t xml:space="preserve"> a financing, the term sheet will usually specify that it is included in the </w:t>
      </w:r>
      <w:r>
        <w:rPr>
          <w:rFonts w:ascii="Calibri" w:cs="Calibri" w:eastAsia="Calibri" w:hAnsi="Calibri"/>
          <w:b/>
          <w:bCs/>
          <w:sz w:val="21"/>
          <w:szCs w:val="21"/>
        </w:rPr>
        <w:t xml:space="preserve">pre-money</w:t>
      </w:r>
      <w:r>
        <w:rPr>
          <w:rFonts w:ascii="Calibri" w:cs="Calibri" w:eastAsia="Calibri" w:hAnsi="Calibri"/>
          <w:sz w:val="21"/>
          <w:szCs w:val="21"/>
        </w:rPr>
        <w:t xml:space="preserve"> capitalisation.</w:t>
      </w:r>
    </w:p>
    <w:p>
      <w:pPr>
        <w:spacing w:after="120" w:before="60" w:line="276"/>
        <w:ind w:left="720" w:hanging="720"/>
        <w:jc w:val="both"/>
      </w:pPr>
      <w:r>
        <w:rPr>
          <w:rFonts w:ascii="Calibri" w:cs="Calibri" w:eastAsia="Calibri" w:hAnsi="Calibri"/>
          <w:sz w:val="21"/>
          <w:szCs w:val="21"/>
        </w:rPr>
        <w:t xml:space="preserve">2.2	</w:t>
      </w:r>
      <w:r>
        <w:rPr>
          <w:rFonts w:ascii="Calibri" w:cs="Calibri" w:eastAsia="Calibri" w:hAnsi="Calibri"/>
          <w:sz w:val="21"/>
          <w:szCs w:val="21"/>
        </w:rPr>
        <w:t xml:space="preserve">That means the pool comes out of the existing shareholders’ holdings before the investor’s money is counted. The investor’s percentage is unaffected; the founders bear the entire dilution.</w:t>
      </w:r>
    </w:p>
    <w:p>
      <w:pPr>
        <w:spacing w:after="120" w:before="60" w:line="276"/>
        <w:ind w:left="720" w:hanging="720"/>
        <w:jc w:val="both"/>
      </w:pPr>
      <w:r>
        <w:rPr>
          <w:rFonts w:ascii="Calibri" w:cs="Calibri" w:eastAsia="Calibri" w:hAnsi="Calibri"/>
          <w:sz w:val="21"/>
          <w:szCs w:val="21"/>
        </w:rPr>
        <w:t xml:space="preserve">2.3	</w:t>
      </w:r>
      <w:r>
        <w:rPr>
          <w:rFonts w:ascii="Calibri" w:cs="Calibri" w:eastAsia="Calibri" w:hAnsi="Calibri"/>
          <w:sz w:val="21"/>
          <w:szCs w:val="21"/>
        </w:rPr>
        <w:t xml:space="preserve">Where the pool is created post-money, all shareholders including the investor are diluted proportionately.</w:t>
      </w:r>
    </w:p>
    <w:p>
      <w:pPr>
        <w:spacing w:after="120" w:before="60" w:line="276"/>
        <w:ind w:left="720" w:hanging="720"/>
        <w:jc w:val="both"/>
      </w:pPr>
      <w:r>
        <w:rPr>
          <w:rFonts w:ascii="Calibri" w:cs="Calibri" w:eastAsia="Calibri" w:hAnsi="Calibri"/>
          <w:sz w:val="21"/>
          <w:szCs w:val="21"/>
        </w:rPr>
        <w:t xml:space="preserve">2.4	</w:t>
      </w:r>
      <w:r>
        <w:rPr>
          <w:rFonts w:ascii="Calibri" w:cs="Calibri" w:eastAsia="Calibri" w:hAnsi="Calibri"/>
          <w:i/>
          <w:iCs/>
          <w:sz w:val="21"/>
          <w:szCs w:val="21"/>
        </w:rPr>
        <w:t xml:space="preserve">This is negotiable. The two levers are the size of the pool and whether it sits pre or post money. Reducing an unnecessarily large pre-money pool is frequently worth more to founders than negotiating the valuation itself.</w:t>
      </w:r>
    </w:p>
    <w:p>
      <w:pPr>
        <w:keepNext/>
        <w:spacing w:after="120" w:before="280"/>
        <w:outlineLvl w:val="0"/>
      </w:pPr>
      <w:r>
        <w:rPr>
          <w:rFonts w:ascii="Calibri" w:cs="Calibri" w:eastAsia="Calibri" w:hAnsi="Calibri"/>
          <w:b/>
          <w:bCs/>
          <w:color w:val="14161B"/>
          <w:sz w:val="22"/>
          <w:szCs w:val="22"/>
        </w:rPr>
        <w:t xml:space="preserve">3. APPROVALS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7517"/>
        <w:gridCol w:w="1640"/>
      </w:tblGrid>
      <w:tr>
        <w:trPr>
          <w:tblHeader/>
        </w:trPr>
        <w:tc>
          <w:tcPr>
            <w:tcW w:type="dxa" w:w="48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t>
            </w:r>
          </w:p>
        </w:tc>
        <w:tc>
          <w:tcPr>
            <w:tcW w:type="dxa" w:w="751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Check</w:t>
            </w:r>
          </w:p>
        </w:tc>
        <w:tc>
          <w:tcPr>
            <w:tcW w:type="dxa" w:w="164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Confirmed</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Scheme rules permit the pool to be increased, and by what mechanism</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2</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Members’ approval obtained where the rules or constitution require it</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3</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Investor consent obtained where pool increase is a reserved matter</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4</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Constitution permits issue of the additional shares</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5</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Pre-emption on new issues waived or complied with</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6</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Anti-dilution effect on existing preference shares assessed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7</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Fully diluted cap table recomputed and circulated to the board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8</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Effect on existing option holders explained — their percentage falls</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9</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Grants already promised but not documented identified and provided for</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10</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Fifty-member limit modelled on full exercise</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bl>
    <w:p>
      <w:pPr>
        <w:spacing w:after="160"/>
      </w:pPr>
    </w:p>
    <w:p>
      <w:pPr>
        <w:keepNext/>
        <w:spacing w:after="120" w:before="280"/>
        <w:outlineLvl w:val="0"/>
      </w:pPr>
      <w:r>
        <w:rPr>
          <w:rFonts w:ascii="Calibri" w:cs="Calibri" w:eastAsia="Calibri" w:hAnsi="Calibri"/>
          <w:b/>
          <w:bCs/>
          <w:color w:val="14161B"/>
          <w:sz w:val="22"/>
          <w:szCs w:val="22"/>
        </w:rPr>
        <w:t xml:space="preserve">4. RESOLUTION</w:t>
      </w:r>
    </w:p>
    <w:p>
      <w:pPr>
        <w:spacing w:after="120" w:before="0" w:line="276"/>
        <w:jc w:val="both"/>
      </w:pPr>
      <w:r>
        <w:rPr>
          <w:rFonts w:ascii="Calibri" w:cs="Calibri" w:eastAsia="Calibri" w:hAnsi="Calibri"/>
          <w:b/>
          <w:bCs/>
          <w:sz w:val="21"/>
          <w:szCs w:val="21"/>
        </w:rPr>
        <w:t xml:space="preserve">IT WAS NOTED</w:t>
      </w:r>
      <w:r>
        <w:rPr>
          <w:rFonts w:ascii="Calibri" w:cs="Calibri" w:eastAsia="Calibri" w:hAnsi="Calibri"/>
          <w:sz w:val="21"/>
          <w:szCs w:val="21"/>
        </w:rPr>
        <w:t xml:space="preserve"> that the pool available for grant under the </w:t>
      </w:r>
      <w:r>
        <w:rPr>
          <w:rFonts w:ascii="Calibri" w:cs="Calibri" w:eastAsia="Calibri" w:hAnsi="Calibri"/>
          <w:b/>
          <w:bCs/>
          <w:sz w:val="21"/>
          <w:szCs w:val="21"/>
        </w:rPr>
        <w:t xml:space="preserve">[SCHEME NAME]</w:t>
      </w:r>
      <w:r>
        <w:rPr>
          <w:rFonts w:ascii="Calibri" w:cs="Calibri" w:eastAsia="Calibri" w:hAnsi="Calibri"/>
          <w:sz w:val="21"/>
          <w:szCs w:val="21"/>
        </w:rPr>
        <w:t xml:space="preserve"> has reduced to </w:t>
      </w:r>
      <w:r>
        <w:rPr>
          <w:rFonts w:ascii="Calibri" w:cs="Calibri" w:eastAsia="Calibri" w:hAnsi="Calibri"/>
          <w:b/>
          <w:bCs/>
          <w:sz w:val="21"/>
          <w:szCs w:val="21"/>
        </w:rPr>
        <w:t xml:space="preserve">[NUMBER]</w:t>
      </w:r>
      <w:r>
        <w:rPr>
          <w:rFonts w:ascii="Calibri" w:cs="Calibri" w:eastAsia="Calibri" w:hAnsi="Calibri"/>
          <w:sz w:val="21"/>
          <w:szCs w:val="21"/>
        </w:rPr>
        <w:t xml:space="preserve"> shares, that the hiring plan for the next </w:t>
      </w:r>
      <w:r>
        <w:rPr>
          <w:rFonts w:ascii="Calibri" w:cs="Calibri" w:eastAsia="Calibri" w:hAnsi="Calibri"/>
          <w:b/>
          <w:bCs/>
          <w:sz w:val="21"/>
          <w:szCs w:val="21"/>
        </w:rPr>
        <w:t xml:space="preserve">[18]</w:t>
      </w:r>
      <w:r>
        <w:rPr>
          <w:rFonts w:ascii="Calibri" w:cs="Calibri" w:eastAsia="Calibri" w:hAnsi="Calibri"/>
          <w:sz w:val="21"/>
          <w:szCs w:val="21"/>
        </w:rPr>
        <w:t xml:space="preserve"> months requires approximately </w:t>
      </w:r>
      <w:r>
        <w:rPr>
          <w:rFonts w:ascii="Calibri" w:cs="Calibri" w:eastAsia="Calibri" w:hAnsi="Calibri"/>
          <w:b/>
          <w:bCs/>
          <w:sz w:val="21"/>
          <w:szCs w:val="21"/>
        </w:rPr>
        <w:t xml:space="preserve">[NUMBER]</w:t>
      </w:r>
      <w:r>
        <w:rPr>
          <w:rFonts w:ascii="Calibri" w:cs="Calibri" w:eastAsia="Calibri" w:hAnsi="Calibri"/>
          <w:sz w:val="21"/>
          <w:szCs w:val="21"/>
        </w:rPr>
        <w:t xml:space="preserve"> shares, and that </w:t>
      </w:r>
      <w:r>
        <w:rPr>
          <w:rFonts w:ascii="Calibri" w:cs="Calibri" w:eastAsia="Calibri" w:hAnsi="Calibri"/>
          <w:b/>
          <w:bCs/>
          <w:sz w:val="21"/>
          <w:szCs w:val="21"/>
        </w:rPr>
        <w:t xml:space="preserve">[investor consent has been obtained from ______ / no consent is required]</w:t>
      </w:r>
      <w:r>
        <w:rPr>
          <w:rFonts w:ascii="Calibri" w:cs="Calibri" w:eastAsia="Calibri" w:hAnsi="Calibri"/>
          <w:sz w:val="21"/>
          <w:szCs w:val="21"/>
        </w:rPr>
        <w:t xml:space="preserve">.</w:t>
      </w:r>
    </w:p>
    <w:p>
      <w:pPr>
        <w:spacing w:after="80" w:before="0" w:line="276"/>
        <w:jc w:val="both"/>
      </w:pPr>
      <w:r>
        <w:rPr>
          <w:rFonts w:ascii="Calibri" w:cs="Calibri" w:eastAsia="Calibri" w:hAnsi="Calibri"/>
          <w:b/>
          <w:bCs/>
          <w:sz w:val="21"/>
          <w:szCs w:val="21"/>
        </w:rPr>
        <w:t xml:space="preserve">IT WAS RESOLVED THAT</w:t>
      </w:r>
      <w:r>
        <w:rPr>
          <w:rFonts w:ascii="Calibri" w:cs="Calibri" w:eastAsia="Calibri" w:hAnsi="Calibri"/>
          <w:sz w:val="21"/>
          <w:szCs w:val="21"/>
        </w:rPr>
        <w:t xml:space="preserve">:</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sz w:val="21"/>
          <w:szCs w:val="21"/>
        </w:rPr>
        <w:t xml:space="preserve">the maximum number of shares over which options and awards may be granted under the </w:t>
      </w:r>
      <w:r>
        <w:rPr>
          <w:rFonts w:ascii="Calibri" w:cs="Calibri" w:eastAsia="Calibri" w:hAnsi="Calibri"/>
          <w:b/>
          <w:bCs/>
          <w:sz w:val="21"/>
          <w:szCs w:val="21"/>
        </w:rPr>
        <w:t xml:space="preserve">[SCHEME NAME]</w:t>
      </w:r>
      <w:r>
        <w:rPr>
          <w:rFonts w:ascii="Calibri" w:cs="Calibri" w:eastAsia="Calibri" w:hAnsi="Calibri"/>
          <w:sz w:val="21"/>
          <w:szCs w:val="21"/>
        </w:rPr>
        <w:t xml:space="preserve"> be increased from </w:t>
      </w:r>
      <w:r>
        <w:rPr>
          <w:rFonts w:ascii="Calibri" w:cs="Calibri" w:eastAsia="Calibri" w:hAnsi="Calibri"/>
          <w:b/>
          <w:bCs/>
          <w:sz w:val="21"/>
          <w:szCs w:val="21"/>
        </w:rPr>
        <w:t xml:space="preserve">[NUMBER]</w:t>
      </w:r>
      <w:r>
        <w:rPr>
          <w:rFonts w:ascii="Calibri" w:cs="Calibri" w:eastAsia="Calibri" w:hAnsi="Calibri"/>
          <w:sz w:val="21"/>
          <w:szCs w:val="21"/>
        </w:rPr>
        <w:t xml:space="preserve"> to </w:t>
      </w:r>
      <w:r>
        <w:rPr>
          <w:rFonts w:ascii="Calibri" w:cs="Calibri" w:eastAsia="Calibri" w:hAnsi="Calibri"/>
          <w:b/>
          <w:bCs/>
          <w:sz w:val="21"/>
          <w:szCs w:val="21"/>
        </w:rPr>
        <w:t xml:space="preserve">[NUMBER]</w:t>
      </w:r>
      <w:r>
        <w:rPr>
          <w:rFonts w:ascii="Calibri" w:cs="Calibri" w:eastAsia="Calibri" w:hAnsi="Calibri"/>
          <w:sz w:val="21"/>
          <w:szCs w:val="21"/>
        </w:rPr>
        <w:t xml:space="preserve"> shares, representing </w:t>
      </w:r>
      <w:r>
        <w:rPr>
          <w:rFonts w:ascii="Calibri" w:cs="Calibri" w:eastAsia="Calibri" w:hAnsi="Calibri"/>
          <w:b/>
          <w:bCs/>
          <w:sz w:val="21"/>
          <w:szCs w:val="21"/>
        </w:rPr>
        <w:t xml:space="preserve">[PERCENTAGE]</w:t>
      </w:r>
      <w:r>
        <w:rPr>
          <w:rFonts w:ascii="Calibri" w:cs="Calibri" w:eastAsia="Calibri" w:hAnsi="Calibri"/>
          <w:sz w:val="21"/>
          <w:szCs w:val="21"/>
        </w:rPr>
        <w:t xml:space="preserve"> of the issued share capital on a fully diluted basis;</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sz w:val="21"/>
          <w:szCs w:val="21"/>
        </w:rPr>
        <w:t xml:space="preserve">the increase take effect on </w:t>
      </w:r>
      <w:r>
        <w:rPr>
          <w:rFonts w:ascii="Calibri" w:cs="Calibri" w:eastAsia="Calibri" w:hAnsi="Calibri"/>
          <w:b/>
          <w:bCs/>
          <w:sz w:val="21"/>
          <w:szCs w:val="21"/>
        </w:rPr>
        <w:t xml:space="preserve">[DATE]</w:t>
      </w:r>
      <w:r>
        <w:rPr>
          <w:rFonts w:ascii="Calibri" w:cs="Calibri" w:eastAsia="Calibri" w:hAnsi="Calibri"/>
          <w:sz w:val="21"/>
          <w:szCs w:val="21"/>
        </w:rPr>
        <w:t xml:space="preserve"> and, for the avoidance of doubt, be treated as forming part of the </w:t>
      </w:r>
      <w:r>
        <w:rPr>
          <w:rFonts w:ascii="Calibri" w:cs="Calibri" w:eastAsia="Calibri" w:hAnsi="Calibri"/>
          <w:b/>
          <w:bCs/>
          <w:sz w:val="21"/>
          <w:szCs w:val="21"/>
        </w:rPr>
        <w:t xml:space="preserve">[pre-money / post-money]</w:t>
      </w:r>
      <w:r>
        <w:rPr>
          <w:rFonts w:ascii="Calibri" w:cs="Calibri" w:eastAsia="Calibri" w:hAnsi="Calibri"/>
          <w:sz w:val="21"/>
          <w:szCs w:val="21"/>
        </w:rPr>
        <w:t xml:space="preserve"> capitalisation for the purposes of the </w:t>
      </w:r>
      <w:r>
        <w:rPr>
          <w:rFonts w:ascii="Calibri" w:cs="Calibri" w:eastAsia="Calibri" w:hAnsi="Calibri"/>
          <w:b/>
          <w:bCs/>
          <w:sz w:val="21"/>
          <w:szCs w:val="21"/>
        </w:rPr>
        <w:t xml:space="preserve">[FINANCING ROUND]</w:t>
      </w:r>
      <w:r>
        <w:rPr>
          <w:rFonts w:ascii="Calibri" w:cs="Calibri" w:eastAsia="Calibri" w:hAnsi="Calibri"/>
          <w:sz w:val="21"/>
          <w:szCs w:val="21"/>
        </w:rPr>
        <w:t xml:space="preserve">;</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sz w:val="21"/>
          <w:szCs w:val="21"/>
        </w:rPr>
        <w:t xml:space="preserve">shares subject to options that lapse or are forfeited return to the pool and become available for further grant;</w:t>
      </w:r>
    </w:p>
    <w:p>
      <w:pPr>
        <w:spacing w:after="100" w:before="40" w:line="276"/>
        <w:ind w:left="1440" w:hanging="720"/>
        <w:jc w:val="both"/>
      </w:pPr>
      <w:r>
        <w:rPr>
          <w:rFonts w:ascii="Calibri" w:cs="Calibri" w:eastAsia="Calibri" w:hAnsi="Calibri"/>
          <w:sz w:val="21"/>
          <w:szCs w:val="21"/>
        </w:rPr>
        <w:t xml:space="preserve">(d)	</w:t>
      </w:r>
      <w:r>
        <w:rPr>
          <w:rFonts w:ascii="Calibri" w:cs="Calibri" w:eastAsia="Calibri" w:hAnsi="Calibri"/>
          <w:sz w:val="21"/>
          <w:szCs w:val="21"/>
        </w:rPr>
        <w:t xml:space="preserve">the Committee be authorised to make grants within the increased pool in accordance with the scheme rules; and</w:t>
      </w:r>
    </w:p>
    <w:p>
      <w:pPr>
        <w:spacing w:after="100" w:before="40" w:line="276"/>
        <w:ind w:left="1440" w:hanging="720"/>
        <w:jc w:val="both"/>
      </w:pPr>
      <w:r>
        <w:rPr>
          <w:rFonts w:ascii="Calibri" w:cs="Calibri" w:eastAsia="Calibri" w:hAnsi="Calibri"/>
          <w:sz w:val="21"/>
          <w:szCs w:val="21"/>
        </w:rPr>
        <w:t xml:space="preserve">(e)	</w:t>
      </w:r>
      <w:r>
        <w:rPr>
          <w:rFonts w:ascii="Calibri" w:cs="Calibri" w:eastAsia="Calibri" w:hAnsi="Calibri"/>
          <w:sz w:val="21"/>
          <w:szCs w:val="21"/>
        </w:rPr>
        <w:t xml:space="preserve">the cap table and option register be updated accordingly.</w:t>
      </w:r>
    </w:p>
    <w:p>
      <w:pPr>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pPr>
    </w:p>
    <w:p>
      <w:pPr>
        <w:spacing w:after="60" w:before="240"/>
        <w:jc w:val="center"/>
      </w:pPr>
      <w:r>
        <w:rPr>
          <w:rFonts w:ascii="Calibri" w:cs="Calibri" w:eastAsia="Calibri" w:hAnsi="Calibri"/>
          <w:b/>
          <w:bCs/>
          <w:color w:val="14161B"/>
          <w:spacing w:val="12"/>
          <w:sz w:val="28"/>
          <w:szCs w:val="28"/>
        </w:rPr>
        <w:t xml:space="preserve">ANNEXURE A</w:t>
      </w:r>
    </w:p>
    <w:p>
      <w:pPr>
        <w:spacing w:after="260"/>
        <w:jc w:val="center"/>
      </w:pPr>
      <w:r>
        <w:rPr>
          <w:rFonts w:ascii="Calibri" w:cs="Calibri" w:eastAsia="Calibri" w:hAnsi="Calibri"/>
          <w:i/>
          <w:iCs/>
          <w:color w:val="6E7480"/>
          <w:sz w:val="19"/>
          <w:szCs w:val="19"/>
        </w:rPr>
        <w:t xml:space="preserve">Fully Diluted Cap Table</w:t>
      </w:r>
    </w:p>
    <w:p>
      <w:pPr>
        <w:spacing w:after="140" w:before="0" w:line="276"/>
        <w:jc w:val="both"/>
      </w:pPr>
      <w:r>
        <w:rPr>
          <w:rFonts w:ascii="Calibri" w:cs="Calibri" w:eastAsia="Calibri" w:hAnsi="Calibri"/>
          <w:i/>
          <w:iCs/>
          <w:sz w:val="21"/>
          <w:szCs w:val="21"/>
        </w:rPr>
        <w:t xml:space="preserve">Model the position before the change, after the pool increase, and after the financing. The middle column is the one founders most often never see.</w:t>
      </w:r>
    </w:p>
    <w:tbl>
      <w:tblPr>
        <w:tblW w:type="dxa" w:w="15038"/>
        <w:tblBorders>
          <w:top w:val="single" w:color="B9BEC8" w:sz="4"/>
          <w:left w:val="single" w:color="B9BEC8" w:sz="4"/>
          <w:bottom w:val="single" w:color="B9BEC8" w:sz="4"/>
          <w:right w:val="single" w:color="B9BEC8" w:sz="4"/>
          <w:insideH w:val="single" w:color="D3D7DF" w:sz="2"/>
          <w:insideV w:val="single" w:color="D3D7DF" w:sz="2"/>
        </w:tblBorders>
      </w:tblPr>
      <w:tblGrid>
        <w:gridCol w:w="2706"/>
        <w:gridCol w:w="1503"/>
        <w:gridCol w:w="1503"/>
        <w:gridCol w:w="1052"/>
        <w:gridCol w:w="1804"/>
        <w:gridCol w:w="1052"/>
        <w:gridCol w:w="1654"/>
        <w:gridCol w:w="1503"/>
        <w:gridCol w:w="1203"/>
        <w:gridCol w:w="1058"/>
      </w:tblGrid>
      <w:tr>
        <w:trPr>
          <w:tblHeader/>
        </w:trPr>
        <w:tc>
          <w:tcPr>
            <w:tcW w:type="dxa" w:w="270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Holder</w:t>
            </w:r>
          </w:p>
        </w:tc>
        <w:tc>
          <w:tcPr>
            <w:tcW w:type="dxa" w:w="150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Class</w:t>
            </w:r>
          </w:p>
        </w:tc>
        <w:tc>
          <w:tcPr>
            <w:tcW w:type="dxa" w:w="1503"/>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Shares now</w:t>
            </w:r>
          </w:p>
        </w:tc>
        <w:tc>
          <w:tcPr>
            <w:tcW w:type="dxa" w:w="1052"/>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 now</w:t>
            </w:r>
          </w:p>
        </w:tc>
        <w:tc>
          <w:tcPr>
            <w:tcW w:type="dxa" w:w="1804"/>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After pool increase</w:t>
            </w:r>
          </w:p>
        </w:tc>
        <w:tc>
          <w:tcPr>
            <w:tcW w:type="dxa" w:w="1052"/>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w:t>
            </w:r>
          </w:p>
        </w:tc>
        <w:tc>
          <w:tcPr>
            <w:tcW w:type="dxa" w:w="1654"/>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New shares in round</w:t>
            </w:r>
          </w:p>
        </w:tc>
        <w:tc>
          <w:tcPr>
            <w:tcW w:type="dxa" w:w="1503"/>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After round</w:t>
            </w:r>
          </w:p>
        </w:tc>
        <w:tc>
          <w:tcPr>
            <w:tcW w:type="dxa" w:w="1203"/>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 after</w:t>
            </w:r>
          </w:p>
        </w:tc>
        <w:tc>
          <w:tcPr>
            <w:tcW w:type="dxa" w:w="1058"/>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Change in %</w:t>
            </w:r>
          </w:p>
        </w:tc>
      </w:tr>
      <w:tr>
        <w:tc>
          <w:tcPr>
            <w:tcW w:type="dxa" w:w="2706"/>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[FOUNDER]</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Ordinary</w:t>
            </w:r>
          </w:p>
        </w:tc>
        <w:tc>
          <w:tcPr>
            <w:tcW w:type="dxa" w:w="1503"/>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[NUMBER]</w:t>
            </w:r>
          </w:p>
        </w:tc>
        <w:tc>
          <w:tcPr>
            <w:tcW w:type="dxa" w:w="1052"/>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w:t>
            </w:r>
          </w:p>
        </w:tc>
        <w:tc>
          <w:tcPr>
            <w:tcW w:type="dxa" w:w="1804"/>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[NUMBER]</w:t>
            </w:r>
          </w:p>
        </w:tc>
        <w:tc>
          <w:tcPr>
            <w:tcW w:type="dxa" w:w="1052"/>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w:t>
            </w:r>
          </w:p>
        </w:tc>
        <w:tc>
          <w:tcPr>
            <w:tcW w:type="dxa" w:w="1654"/>
            <w:tcMar>
              <w:top w:type="dxa" w:w="70"/>
              <w:left w:type="dxa" w:w="100"/>
              <w:bottom w:type="dxa" w:w="70"/>
              <w:right w:type="dxa" w:w="100"/>
            </w:tcMar>
            <w:vAlign w:val="center"/>
          </w:tcPr>
          <w:p>
            <w:pPr>
              <w:spacing w:after="0" w:line="240"/>
              <w:jc w:val="right"/>
            </w:pPr>
            <w:r>
              <w:rPr>
                <w:rFonts w:ascii="Calibri" w:cs="Calibri" w:eastAsia="Calibri" w:hAnsi="Calibri"/>
                <w:sz w:val="15"/>
                <w:szCs w:val="15"/>
              </w:rPr>
              <w:t xml:space="preserve">—</w:t>
            </w:r>
          </w:p>
        </w:tc>
        <w:tc>
          <w:tcPr>
            <w:tcW w:type="dxa" w:w="1503"/>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[NUMBER]</w:t>
            </w:r>
          </w:p>
        </w:tc>
        <w:tc>
          <w:tcPr>
            <w:tcW w:type="dxa" w:w="1203"/>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w:t>
            </w:r>
          </w:p>
        </w:tc>
        <w:tc>
          <w:tcPr>
            <w:tcW w:type="dxa" w:w="1058"/>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w:t>
            </w:r>
          </w:p>
        </w:tc>
      </w:tr>
      <w:tr>
        <w:tc>
          <w:tcPr>
            <w:tcW w:type="dxa" w:w="2706"/>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[FOUNDER]</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Ordinary</w:t>
            </w:r>
          </w:p>
        </w:tc>
        <w:tc>
          <w:tcPr>
            <w:tcW w:type="dxa" w:w="1503"/>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[NUMBER]</w:t>
            </w:r>
          </w:p>
        </w:tc>
        <w:tc>
          <w:tcPr>
            <w:tcW w:type="dxa" w:w="1052"/>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w:t>
            </w:r>
          </w:p>
        </w:tc>
        <w:tc>
          <w:tcPr>
            <w:tcW w:type="dxa" w:w="1804"/>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[NUMBER]</w:t>
            </w:r>
          </w:p>
        </w:tc>
        <w:tc>
          <w:tcPr>
            <w:tcW w:type="dxa" w:w="1052"/>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w:t>
            </w:r>
          </w:p>
        </w:tc>
        <w:tc>
          <w:tcPr>
            <w:tcW w:type="dxa" w:w="1654"/>
            <w:tcMar>
              <w:top w:type="dxa" w:w="70"/>
              <w:left w:type="dxa" w:w="100"/>
              <w:bottom w:type="dxa" w:w="70"/>
              <w:right w:type="dxa" w:w="100"/>
            </w:tcMar>
            <w:vAlign w:val="center"/>
          </w:tcPr>
          <w:p>
            <w:pPr>
              <w:spacing w:after="0" w:line="240"/>
              <w:jc w:val="right"/>
            </w:pPr>
            <w:r>
              <w:rPr>
                <w:rFonts w:ascii="Calibri" w:cs="Calibri" w:eastAsia="Calibri" w:hAnsi="Calibri"/>
                <w:sz w:val="15"/>
                <w:szCs w:val="15"/>
              </w:rPr>
              <w:t xml:space="preserve">—</w:t>
            </w:r>
          </w:p>
        </w:tc>
        <w:tc>
          <w:tcPr>
            <w:tcW w:type="dxa" w:w="1503"/>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[NUMBER]</w:t>
            </w:r>
          </w:p>
        </w:tc>
        <w:tc>
          <w:tcPr>
            <w:tcW w:type="dxa" w:w="1203"/>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w:t>
            </w:r>
          </w:p>
        </w:tc>
        <w:tc>
          <w:tcPr>
            <w:tcW w:type="dxa" w:w="1058"/>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w:t>
            </w:r>
          </w:p>
        </w:tc>
      </w:tr>
      <w:tr>
        <w:tc>
          <w:tcPr>
            <w:tcW w:type="dxa" w:w="2706"/>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[EXISTING INVESTOR]</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[Series Seed]</w:t>
            </w:r>
          </w:p>
        </w:tc>
        <w:tc>
          <w:tcPr>
            <w:tcW w:type="dxa" w:w="1503"/>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[NUMBER]</w:t>
            </w:r>
          </w:p>
        </w:tc>
        <w:tc>
          <w:tcPr>
            <w:tcW w:type="dxa" w:w="1052"/>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w:t>
            </w:r>
          </w:p>
        </w:tc>
        <w:tc>
          <w:tcPr>
            <w:tcW w:type="dxa" w:w="1804"/>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[NUMBER]</w:t>
            </w:r>
          </w:p>
        </w:tc>
        <w:tc>
          <w:tcPr>
            <w:tcW w:type="dxa" w:w="1052"/>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w:t>
            </w:r>
          </w:p>
        </w:tc>
        <w:tc>
          <w:tcPr>
            <w:tcW w:type="dxa" w:w="1654"/>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[NUMBER]</w:t>
            </w:r>
          </w:p>
        </w:tc>
        <w:tc>
          <w:tcPr>
            <w:tcW w:type="dxa" w:w="1503"/>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[NUMBER]</w:t>
            </w:r>
          </w:p>
        </w:tc>
        <w:tc>
          <w:tcPr>
            <w:tcW w:type="dxa" w:w="1203"/>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w:t>
            </w:r>
          </w:p>
        </w:tc>
        <w:tc>
          <w:tcPr>
            <w:tcW w:type="dxa" w:w="1058"/>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w:t>
            </w:r>
          </w:p>
        </w:tc>
      </w:tr>
      <w:tr>
        <w:tc>
          <w:tcPr>
            <w:tcW w:type="dxa" w:w="2706"/>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[NEW INVESTOR]</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[Series A]</w:t>
            </w:r>
          </w:p>
        </w:tc>
        <w:tc>
          <w:tcPr>
            <w:tcW w:type="dxa" w:w="1503"/>
            <w:tcMar>
              <w:top w:type="dxa" w:w="70"/>
              <w:left w:type="dxa" w:w="100"/>
              <w:bottom w:type="dxa" w:w="70"/>
              <w:right w:type="dxa" w:w="100"/>
            </w:tcMar>
            <w:vAlign w:val="center"/>
          </w:tcPr>
          <w:p>
            <w:pPr>
              <w:spacing w:after="0" w:line="240"/>
              <w:jc w:val="right"/>
            </w:pPr>
            <w:r>
              <w:rPr>
                <w:rFonts w:ascii="Calibri" w:cs="Calibri" w:eastAsia="Calibri" w:hAnsi="Calibri"/>
                <w:sz w:val="15"/>
                <w:szCs w:val="15"/>
              </w:rPr>
              <w:t xml:space="preserve">—</w:t>
            </w:r>
          </w:p>
        </w:tc>
        <w:tc>
          <w:tcPr>
            <w:tcW w:type="dxa" w:w="1052"/>
            <w:tcMar>
              <w:top w:type="dxa" w:w="70"/>
              <w:left w:type="dxa" w:w="100"/>
              <w:bottom w:type="dxa" w:w="70"/>
              <w:right w:type="dxa" w:w="100"/>
            </w:tcMar>
            <w:vAlign w:val="center"/>
          </w:tcPr>
          <w:p>
            <w:pPr>
              <w:spacing w:after="0" w:line="240"/>
              <w:jc w:val="right"/>
            </w:pPr>
            <w:r>
              <w:rPr>
                <w:rFonts w:ascii="Calibri" w:cs="Calibri" w:eastAsia="Calibri" w:hAnsi="Calibri"/>
                <w:sz w:val="15"/>
                <w:szCs w:val="15"/>
              </w:rPr>
              <w:t xml:space="preserve">—</w:t>
            </w:r>
          </w:p>
        </w:tc>
        <w:tc>
          <w:tcPr>
            <w:tcW w:type="dxa" w:w="1804"/>
            <w:tcMar>
              <w:top w:type="dxa" w:w="70"/>
              <w:left w:type="dxa" w:w="100"/>
              <w:bottom w:type="dxa" w:w="70"/>
              <w:right w:type="dxa" w:w="100"/>
            </w:tcMar>
            <w:vAlign w:val="center"/>
          </w:tcPr>
          <w:p>
            <w:pPr>
              <w:spacing w:after="0" w:line="240"/>
              <w:jc w:val="right"/>
            </w:pPr>
            <w:r>
              <w:rPr>
                <w:rFonts w:ascii="Calibri" w:cs="Calibri" w:eastAsia="Calibri" w:hAnsi="Calibri"/>
                <w:sz w:val="15"/>
                <w:szCs w:val="15"/>
              </w:rPr>
              <w:t xml:space="preserve">—</w:t>
            </w:r>
          </w:p>
        </w:tc>
        <w:tc>
          <w:tcPr>
            <w:tcW w:type="dxa" w:w="1052"/>
            <w:tcMar>
              <w:top w:type="dxa" w:w="70"/>
              <w:left w:type="dxa" w:w="100"/>
              <w:bottom w:type="dxa" w:w="70"/>
              <w:right w:type="dxa" w:w="100"/>
            </w:tcMar>
            <w:vAlign w:val="center"/>
          </w:tcPr>
          <w:p>
            <w:pPr>
              <w:spacing w:after="0" w:line="240"/>
              <w:jc w:val="right"/>
            </w:pPr>
            <w:r>
              <w:rPr>
                <w:rFonts w:ascii="Calibri" w:cs="Calibri" w:eastAsia="Calibri" w:hAnsi="Calibri"/>
                <w:sz w:val="15"/>
                <w:szCs w:val="15"/>
              </w:rPr>
              <w:t xml:space="preserve">—</w:t>
            </w:r>
          </w:p>
        </w:tc>
        <w:tc>
          <w:tcPr>
            <w:tcW w:type="dxa" w:w="1654"/>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[NUMBER]</w:t>
            </w:r>
          </w:p>
        </w:tc>
        <w:tc>
          <w:tcPr>
            <w:tcW w:type="dxa" w:w="1503"/>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[NUMBER]</w:t>
            </w:r>
          </w:p>
        </w:tc>
        <w:tc>
          <w:tcPr>
            <w:tcW w:type="dxa" w:w="1203"/>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w:t>
            </w:r>
          </w:p>
        </w:tc>
        <w:tc>
          <w:tcPr>
            <w:tcW w:type="dxa" w:w="1058"/>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w:t>
            </w:r>
          </w:p>
        </w:tc>
      </w:tr>
      <w:tr>
        <w:tc>
          <w:tcPr>
            <w:tcW w:type="dxa" w:w="2706"/>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Options granted and outstanding</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Ordinary</w:t>
            </w:r>
          </w:p>
        </w:tc>
        <w:tc>
          <w:tcPr>
            <w:tcW w:type="dxa" w:w="1503"/>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[NUMBER]</w:t>
            </w:r>
          </w:p>
        </w:tc>
        <w:tc>
          <w:tcPr>
            <w:tcW w:type="dxa" w:w="1052"/>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w:t>
            </w:r>
          </w:p>
        </w:tc>
        <w:tc>
          <w:tcPr>
            <w:tcW w:type="dxa" w:w="1804"/>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[NUMBER]</w:t>
            </w:r>
          </w:p>
        </w:tc>
        <w:tc>
          <w:tcPr>
            <w:tcW w:type="dxa" w:w="1052"/>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w:t>
            </w:r>
          </w:p>
        </w:tc>
        <w:tc>
          <w:tcPr>
            <w:tcW w:type="dxa" w:w="1654"/>
            <w:tcMar>
              <w:top w:type="dxa" w:w="70"/>
              <w:left w:type="dxa" w:w="100"/>
              <w:bottom w:type="dxa" w:w="70"/>
              <w:right w:type="dxa" w:w="100"/>
            </w:tcMar>
            <w:vAlign w:val="center"/>
          </w:tcPr>
          <w:p>
            <w:pPr>
              <w:spacing w:after="0" w:line="240"/>
              <w:jc w:val="right"/>
            </w:pPr>
            <w:r>
              <w:rPr>
                <w:rFonts w:ascii="Calibri" w:cs="Calibri" w:eastAsia="Calibri" w:hAnsi="Calibri"/>
                <w:sz w:val="15"/>
                <w:szCs w:val="15"/>
              </w:rPr>
              <w:t xml:space="preserve">—</w:t>
            </w:r>
          </w:p>
        </w:tc>
        <w:tc>
          <w:tcPr>
            <w:tcW w:type="dxa" w:w="1503"/>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[NUMBER]</w:t>
            </w:r>
          </w:p>
        </w:tc>
        <w:tc>
          <w:tcPr>
            <w:tcW w:type="dxa" w:w="1203"/>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w:t>
            </w:r>
          </w:p>
        </w:tc>
        <w:tc>
          <w:tcPr>
            <w:tcW w:type="dxa" w:w="1058"/>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w:t>
            </w:r>
          </w:p>
        </w:tc>
      </w:tr>
      <w:tr>
        <w:tc>
          <w:tcPr>
            <w:tcW w:type="dxa" w:w="2706"/>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Pool available for grant</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Ordinary</w:t>
            </w:r>
          </w:p>
        </w:tc>
        <w:tc>
          <w:tcPr>
            <w:tcW w:type="dxa" w:w="1503"/>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[NUMBER]</w:t>
            </w:r>
          </w:p>
        </w:tc>
        <w:tc>
          <w:tcPr>
            <w:tcW w:type="dxa" w:w="1052"/>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w:t>
            </w:r>
          </w:p>
        </w:tc>
        <w:tc>
          <w:tcPr>
            <w:tcW w:type="dxa" w:w="1804"/>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[NUMBER]</w:t>
            </w:r>
          </w:p>
        </w:tc>
        <w:tc>
          <w:tcPr>
            <w:tcW w:type="dxa" w:w="1052"/>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w:t>
            </w:r>
          </w:p>
        </w:tc>
        <w:tc>
          <w:tcPr>
            <w:tcW w:type="dxa" w:w="1654"/>
            <w:tcMar>
              <w:top w:type="dxa" w:w="70"/>
              <w:left w:type="dxa" w:w="100"/>
              <w:bottom w:type="dxa" w:w="70"/>
              <w:right w:type="dxa" w:w="100"/>
            </w:tcMar>
            <w:vAlign w:val="center"/>
          </w:tcPr>
          <w:p>
            <w:pPr>
              <w:spacing w:after="0" w:line="240"/>
              <w:jc w:val="right"/>
            </w:pPr>
            <w:r>
              <w:rPr>
                <w:rFonts w:ascii="Calibri" w:cs="Calibri" w:eastAsia="Calibri" w:hAnsi="Calibri"/>
                <w:sz w:val="15"/>
                <w:szCs w:val="15"/>
              </w:rPr>
              <w:t xml:space="preserve">—</w:t>
            </w:r>
          </w:p>
        </w:tc>
        <w:tc>
          <w:tcPr>
            <w:tcW w:type="dxa" w:w="1503"/>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[NUMBER]</w:t>
            </w:r>
          </w:p>
        </w:tc>
        <w:tc>
          <w:tcPr>
            <w:tcW w:type="dxa" w:w="1203"/>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w:t>
            </w:r>
          </w:p>
        </w:tc>
        <w:tc>
          <w:tcPr>
            <w:tcW w:type="dxa" w:w="1058"/>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w:t>
            </w:r>
          </w:p>
        </w:tc>
      </w:tr>
      <w:tr>
        <w:tc>
          <w:tcPr>
            <w:tcW w:type="dxa" w:w="2706"/>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[Convertible instruments, as converted]</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w:t>
            </w:r>
          </w:p>
        </w:tc>
        <w:tc>
          <w:tcPr>
            <w:tcW w:type="dxa" w:w="1503"/>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[NUMBER]</w:t>
            </w:r>
          </w:p>
        </w:tc>
        <w:tc>
          <w:tcPr>
            <w:tcW w:type="dxa" w:w="1052"/>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w:t>
            </w:r>
          </w:p>
        </w:tc>
        <w:tc>
          <w:tcPr>
            <w:tcW w:type="dxa" w:w="1804"/>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[NUMBER]</w:t>
            </w:r>
          </w:p>
        </w:tc>
        <w:tc>
          <w:tcPr>
            <w:tcW w:type="dxa" w:w="1052"/>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w:t>
            </w:r>
          </w:p>
        </w:tc>
        <w:tc>
          <w:tcPr>
            <w:tcW w:type="dxa" w:w="1654"/>
            <w:tcMar>
              <w:top w:type="dxa" w:w="70"/>
              <w:left w:type="dxa" w:w="100"/>
              <w:bottom w:type="dxa" w:w="70"/>
              <w:right w:type="dxa" w:w="100"/>
            </w:tcMar>
            <w:vAlign w:val="center"/>
          </w:tcPr>
          <w:p>
            <w:pPr>
              <w:spacing w:after="0" w:line="240"/>
              <w:jc w:val="right"/>
            </w:pPr>
            <w:r>
              <w:rPr>
                <w:rFonts w:ascii="Calibri" w:cs="Calibri" w:eastAsia="Calibri" w:hAnsi="Calibri"/>
                <w:sz w:val="15"/>
                <w:szCs w:val="15"/>
              </w:rPr>
              <w:t xml:space="preserve">—</w:t>
            </w:r>
          </w:p>
        </w:tc>
        <w:tc>
          <w:tcPr>
            <w:tcW w:type="dxa" w:w="1503"/>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[NUMBER]</w:t>
            </w:r>
          </w:p>
        </w:tc>
        <w:tc>
          <w:tcPr>
            <w:tcW w:type="dxa" w:w="1203"/>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w:t>
            </w:r>
          </w:p>
        </w:tc>
        <w:tc>
          <w:tcPr>
            <w:tcW w:type="dxa" w:w="1058"/>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w:t>
            </w:r>
          </w:p>
        </w:tc>
      </w:tr>
      <w:tr>
        <w:tc>
          <w:tcPr>
            <w:tcW w:type="dxa" w:w="2706"/>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Total fully diluted</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w:t>
            </w:r>
          </w:p>
        </w:tc>
        <w:tc>
          <w:tcPr>
            <w:tcW w:type="dxa" w:w="1503"/>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[NUMBER]</w:t>
            </w:r>
          </w:p>
        </w:tc>
        <w:tc>
          <w:tcPr>
            <w:tcW w:type="dxa" w:w="1052"/>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100%</w:t>
            </w:r>
          </w:p>
        </w:tc>
        <w:tc>
          <w:tcPr>
            <w:tcW w:type="dxa" w:w="1804"/>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[NUMBER]</w:t>
            </w:r>
          </w:p>
        </w:tc>
        <w:tc>
          <w:tcPr>
            <w:tcW w:type="dxa" w:w="1052"/>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100%</w:t>
            </w:r>
          </w:p>
        </w:tc>
        <w:tc>
          <w:tcPr>
            <w:tcW w:type="dxa" w:w="1654"/>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[NUMBER]</w:t>
            </w:r>
          </w:p>
        </w:tc>
        <w:tc>
          <w:tcPr>
            <w:tcW w:type="dxa" w:w="1503"/>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[NUMBER]</w:t>
            </w:r>
          </w:p>
        </w:tc>
        <w:tc>
          <w:tcPr>
            <w:tcW w:type="dxa" w:w="1203"/>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100%</w:t>
            </w:r>
          </w:p>
        </w:tc>
        <w:tc>
          <w:tcPr>
            <w:tcW w:type="dxa" w:w="1058"/>
            <w:tcMar>
              <w:top w:type="dxa" w:w="70"/>
              <w:left w:type="dxa" w:w="100"/>
              <w:bottom w:type="dxa" w:w="70"/>
              <w:right w:type="dxa" w:w="100"/>
            </w:tcMar>
            <w:vAlign w:val="center"/>
          </w:tcPr>
          <w:p>
            <w:pPr>
              <w:spacing w:after="0" w:line="240"/>
              <w:jc w:val="right"/>
            </w:pPr>
            <w:r>
              <w:rPr>
                <w:rFonts w:ascii="Calibri" w:cs="Calibri" w:eastAsia="Calibri" w:hAnsi="Calibri"/>
                <w:sz w:val="15"/>
                <w:szCs w:val="15"/>
              </w:rPr>
              <w:t xml:space="preserve">—</w:t>
            </w:r>
          </w:p>
        </w:tc>
      </w:tr>
    </w:tbl>
    <w:p>
      <w:pPr>
        <w:spacing w:after="160"/>
      </w:pPr>
    </w:p>
    <w:p>
      <w:pPr>
        <w:spacing w:after="60" w:before="240"/>
        <w:jc w:val="center"/>
      </w:pPr>
      <w:r>
        <w:rPr>
          <w:rFonts w:ascii="Calibri" w:cs="Calibri" w:eastAsia="Calibri" w:hAnsi="Calibri"/>
          <w:b/>
          <w:bCs/>
          <w:color w:val="14161B"/>
          <w:spacing w:val="12"/>
          <w:sz w:val="28"/>
          <w:szCs w:val="28"/>
        </w:rPr>
        <w:t xml:space="preserve">ANNEXURE B</w:t>
      </w:r>
    </w:p>
    <w:p>
      <w:pPr>
        <w:spacing w:after="260"/>
        <w:jc w:val="center"/>
      </w:pPr>
      <w:r>
        <w:rPr>
          <w:rFonts w:ascii="Calibri" w:cs="Calibri" w:eastAsia="Calibri" w:hAnsi="Calibri"/>
          <w:i/>
          <w:iCs/>
          <w:color w:val="6E7480"/>
          <w:sz w:val="19"/>
          <w:szCs w:val="19"/>
        </w:rPr>
        <w:t xml:space="preserve">Pool Utilisation Tracker</w:t>
      </w:r>
    </w:p>
    <w:tbl>
      <w:tblPr>
        <w:tblW w:type="dxa" w:w="15038"/>
        <w:tblBorders>
          <w:top w:val="single" w:color="B9BEC8" w:sz="4"/>
          <w:left w:val="single" w:color="B9BEC8" w:sz="4"/>
          <w:bottom w:val="single" w:color="B9BEC8" w:sz="4"/>
          <w:right w:val="single" w:color="B9BEC8" w:sz="4"/>
          <w:insideH w:val="single" w:color="D3D7DF" w:sz="2"/>
          <w:insideV w:val="single" w:color="D3D7DF" w:sz="2"/>
        </w:tblBorders>
      </w:tblPr>
      <w:tblGrid>
        <w:gridCol w:w="451"/>
        <w:gridCol w:w="1954"/>
        <w:gridCol w:w="1654"/>
        <w:gridCol w:w="1353"/>
        <w:gridCol w:w="1503"/>
        <w:gridCol w:w="1353"/>
        <w:gridCol w:w="1203"/>
        <w:gridCol w:w="1353"/>
        <w:gridCol w:w="1203"/>
        <w:gridCol w:w="1503"/>
        <w:gridCol w:w="1508"/>
      </w:tblGrid>
      <w:tr>
        <w:trPr>
          <w:tblHeader/>
        </w:trPr>
        <w:tc>
          <w:tcPr>
            <w:tcW w:type="dxa" w:w="45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w:t>
            </w:r>
          </w:p>
        </w:tc>
        <w:tc>
          <w:tcPr>
            <w:tcW w:type="dxa" w:w="195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Participant</w:t>
            </w:r>
          </w:p>
        </w:tc>
        <w:tc>
          <w:tcPr>
            <w:tcW w:type="dxa" w:w="165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Role</w:t>
            </w:r>
          </w:p>
        </w:tc>
        <w:tc>
          <w:tcPr>
            <w:tcW w:type="dxa" w:w="135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Grant date</w:t>
            </w:r>
          </w:p>
        </w:tc>
        <w:tc>
          <w:tcPr>
            <w:tcW w:type="dxa" w:w="150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Type</w:t>
            </w:r>
          </w:p>
        </w:tc>
        <w:tc>
          <w:tcPr>
            <w:tcW w:type="dxa" w:w="135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Shares</w:t>
            </w:r>
          </w:p>
        </w:tc>
        <w:tc>
          <w:tcPr>
            <w:tcW w:type="dxa" w:w="120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Vested</w:t>
            </w:r>
          </w:p>
        </w:tc>
        <w:tc>
          <w:tcPr>
            <w:tcW w:type="dxa" w:w="135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Exercised</w:t>
            </w:r>
          </w:p>
        </w:tc>
        <w:tc>
          <w:tcPr>
            <w:tcW w:type="dxa" w:w="120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Lapsed</w:t>
            </w:r>
          </w:p>
        </w:tc>
        <w:tc>
          <w:tcPr>
            <w:tcW w:type="dxa" w:w="150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Outstanding</w:t>
            </w:r>
          </w:p>
        </w:tc>
        <w:tc>
          <w:tcPr>
            <w:tcW w:type="dxa" w:w="150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Status</w:t>
            </w:r>
          </w:p>
        </w:tc>
      </w:tr>
      <w:tr>
        <w:tc>
          <w:tcPr>
            <w:tcW w:type="dxa" w:w="451"/>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1</w:t>
            </w:r>
          </w:p>
        </w:tc>
        <w:tc>
          <w:tcPr>
            <w:tcW w:type="dxa" w:w="1954"/>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[NAME]</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[ROLE]</w:t>
            </w:r>
          </w:p>
        </w:tc>
        <w:tc>
          <w:tcPr>
            <w:tcW w:type="dxa" w:w="135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[Option / Award]</w:t>
            </w:r>
          </w:p>
        </w:tc>
        <w:tc>
          <w:tcPr>
            <w:tcW w:type="dxa" w:w="135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[NUMBER]</w:t>
            </w:r>
          </w:p>
        </w:tc>
        <w:tc>
          <w:tcPr>
            <w:tcW w:type="dxa" w:w="12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[NUMBER]</w:t>
            </w:r>
          </w:p>
        </w:tc>
        <w:tc>
          <w:tcPr>
            <w:tcW w:type="dxa" w:w="135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[NUMBER]</w:t>
            </w:r>
          </w:p>
        </w:tc>
        <w:tc>
          <w:tcPr>
            <w:tcW w:type="dxa" w:w="12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[NUMBER]</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[NUMBER]</w:t>
            </w:r>
          </w:p>
        </w:tc>
        <w:tc>
          <w:tcPr>
            <w:tcW w:type="dxa" w:w="1508"/>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[Active / Leaver]</w:t>
            </w:r>
          </w:p>
        </w:tc>
      </w:tr>
      <w:tr>
        <w:tc>
          <w:tcPr>
            <w:tcW w:type="dxa" w:w="451"/>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2</w:t>
            </w:r>
          </w:p>
        </w:tc>
        <w:tc>
          <w:tcPr>
            <w:tcW w:type="dxa" w:w="1954"/>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[NAME]</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[ROLE]</w:t>
            </w:r>
          </w:p>
        </w:tc>
        <w:tc>
          <w:tcPr>
            <w:tcW w:type="dxa" w:w="135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[TYPE]</w:t>
            </w:r>
          </w:p>
        </w:tc>
        <w:tc>
          <w:tcPr>
            <w:tcW w:type="dxa" w:w="135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[NUMBER]</w:t>
            </w:r>
          </w:p>
        </w:tc>
        <w:tc>
          <w:tcPr>
            <w:tcW w:type="dxa" w:w="12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[NUMBER]</w:t>
            </w:r>
          </w:p>
        </w:tc>
        <w:tc>
          <w:tcPr>
            <w:tcW w:type="dxa" w:w="135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[NUMBER]</w:t>
            </w:r>
          </w:p>
        </w:tc>
        <w:tc>
          <w:tcPr>
            <w:tcW w:type="dxa" w:w="12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[NUMBER]</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[NUMBER]</w:t>
            </w:r>
          </w:p>
        </w:tc>
        <w:tc>
          <w:tcPr>
            <w:tcW w:type="dxa" w:w="1508"/>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[STATUS]</w:t>
            </w:r>
          </w:p>
        </w:tc>
      </w:tr>
      <w:tr>
        <w:tc>
          <w:tcPr>
            <w:tcW w:type="dxa" w:w="451"/>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3</w:t>
            </w:r>
          </w:p>
        </w:tc>
        <w:tc>
          <w:tcPr>
            <w:tcW w:type="dxa" w:w="1954"/>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[NAME]</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[ROLE]</w:t>
            </w:r>
          </w:p>
        </w:tc>
        <w:tc>
          <w:tcPr>
            <w:tcW w:type="dxa" w:w="135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[TYPE]</w:t>
            </w:r>
          </w:p>
        </w:tc>
        <w:tc>
          <w:tcPr>
            <w:tcW w:type="dxa" w:w="135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[NUMBER]</w:t>
            </w:r>
          </w:p>
        </w:tc>
        <w:tc>
          <w:tcPr>
            <w:tcW w:type="dxa" w:w="12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[NUMBER]</w:t>
            </w:r>
          </w:p>
        </w:tc>
        <w:tc>
          <w:tcPr>
            <w:tcW w:type="dxa" w:w="135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[NUMBER]</w:t>
            </w:r>
          </w:p>
        </w:tc>
        <w:tc>
          <w:tcPr>
            <w:tcW w:type="dxa" w:w="12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[NUMBER]</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[NUMBER]</w:t>
            </w:r>
          </w:p>
        </w:tc>
        <w:tc>
          <w:tcPr>
            <w:tcW w:type="dxa" w:w="1508"/>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[STATUS]</w:t>
            </w:r>
          </w:p>
        </w:tc>
      </w:tr>
      <w:tr>
        <w:tc>
          <w:tcPr>
            <w:tcW w:type="dxa" w:w="451"/>
            <w:tcMar>
              <w:top w:type="dxa" w:w="70"/>
              <w:left w:type="dxa" w:w="100"/>
              <w:bottom w:type="dxa" w:w="70"/>
              <w:right w:type="dxa" w:w="100"/>
            </w:tcMar>
            <w:vAlign w:val="center"/>
          </w:tcPr>
          <w:p>
            <w:pPr>
              <w:spacing w:after="0" w:line="240"/>
              <w:jc w:val="left"/>
            </w:pPr>
          </w:p>
        </w:tc>
        <w:tc>
          <w:tcPr>
            <w:tcW w:type="dxa" w:w="1954"/>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Totals</w:t>
            </w:r>
          </w:p>
        </w:tc>
        <w:tc>
          <w:tcPr>
            <w:tcW w:type="dxa" w:w="1654"/>
            <w:tcMar>
              <w:top w:type="dxa" w:w="70"/>
              <w:left w:type="dxa" w:w="100"/>
              <w:bottom w:type="dxa" w:w="70"/>
              <w:right w:type="dxa" w:w="100"/>
            </w:tcMar>
            <w:vAlign w:val="center"/>
          </w:tcPr>
          <w:p>
            <w:pPr>
              <w:spacing w:after="0" w:line="240"/>
              <w:jc w:val="left"/>
            </w:pPr>
          </w:p>
        </w:tc>
        <w:tc>
          <w:tcPr>
            <w:tcW w:type="dxa" w:w="1353"/>
            <w:tcMar>
              <w:top w:type="dxa" w:w="70"/>
              <w:left w:type="dxa" w:w="100"/>
              <w:bottom w:type="dxa" w:w="70"/>
              <w:right w:type="dxa" w:w="100"/>
            </w:tcMar>
            <w:vAlign w:val="center"/>
          </w:tcPr>
          <w:p>
            <w:pPr>
              <w:spacing w:after="0" w:line="240"/>
              <w:jc w:val="left"/>
            </w:pPr>
          </w:p>
        </w:tc>
        <w:tc>
          <w:tcPr>
            <w:tcW w:type="dxa" w:w="1503"/>
            <w:tcMar>
              <w:top w:type="dxa" w:w="70"/>
              <w:left w:type="dxa" w:w="100"/>
              <w:bottom w:type="dxa" w:w="70"/>
              <w:right w:type="dxa" w:w="100"/>
            </w:tcMar>
            <w:vAlign w:val="center"/>
          </w:tcPr>
          <w:p>
            <w:pPr>
              <w:spacing w:after="0" w:line="240"/>
              <w:jc w:val="left"/>
            </w:pPr>
          </w:p>
        </w:tc>
        <w:tc>
          <w:tcPr>
            <w:tcW w:type="dxa" w:w="135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[NUMBER]</w:t>
            </w:r>
          </w:p>
        </w:tc>
        <w:tc>
          <w:tcPr>
            <w:tcW w:type="dxa" w:w="12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[NUMBER]</w:t>
            </w:r>
          </w:p>
        </w:tc>
        <w:tc>
          <w:tcPr>
            <w:tcW w:type="dxa" w:w="135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[NUMBER]</w:t>
            </w:r>
          </w:p>
        </w:tc>
        <w:tc>
          <w:tcPr>
            <w:tcW w:type="dxa" w:w="12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[NUMBER]</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[NUMBER]</w:t>
            </w:r>
          </w:p>
        </w:tc>
        <w:tc>
          <w:tcPr>
            <w:tcW w:type="dxa" w:w="1508"/>
            <w:tcMar>
              <w:top w:type="dxa" w:w="70"/>
              <w:left w:type="dxa" w:w="100"/>
              <w:bottom w:type="dxa" w:w="70"/>
              <w:right w:type="dxa" w:w="100"/>
            </w:tcMar>
            <w:vAlign w:val="center"/>
          </w:tcPr>
          <w:p>
            <w:pPr>
              <w:spacing w:after="0" w:line="240"/>
              <w:jc w:val="left"/>
            </w:pPr>
          </w:p>
        </w:tc>
      </w:tr>
      <w:tr>
        <w:tc>
          <w:tcPr>
            <w:tcW w:type="dxa" w:w="451"/>
            <w:tcMar>
              <w:top w:type="dxa" w:w="70"/>
              <w:left w:type="dxa" w:w="100"/>
              <w:bottom w:type="dxa" w:w="70"/>
              <w:right w:type="dxa" w:w="100"/>
            </w:tcMar>
            <w:vAlign w:val="center"/>
          </w:tcPr>
          <w:p>
            <w:pPr>
              <w:spacing w:after="0" w:line="240"/>
              <w:jc w:val="left"/>
            </w:pPr>
          </w:p>
        </w:tc>
        <w:tc>
          <w:tcPr>
            <w:tcW w:type="dxa" w:w="1954"/>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Pool size</w:t>
            </w:r>
          </w:p>
        </w:tc>
        <w:tc>
          <w:tcPr>
            <w:tcW w:type="dxa" w:w="1654"/>
            <w:tcMar>
              <w:top w:type="dxa" w:w="70"/>
              <w:left w:type="dxa" w:w="100"/>
              <w:bottom w:type="dxa" w:w="70"/>
              <w:right w:type="dxa" w:w="100"/>
            </w:tcMar>
            <w:vAlign w:val="center"/>
          </w:tcPr>
          <w:p>
            <w:pPr>
              <w:spacing w:after="0" w:line="240"/>
              <w:jc w:val="left"/>
            </w:pPr>
          </w:p>
        </w:tc>
        <w:tc>
          <w:tcPr>
            <w:tcW w:type="dxa" w:w="1353"/>
            <w:tcMar>
              <w:top w:type="dxa" w:w="70"/>
              <w:left w:type="dxa" w:w="100"/>
              <w:bottom w:type="dxa" w:w="70"/>
              <w:right w:type="dxa" w:w="100"/>
            </w:tcMar>
            <w:vAlign w:val="center"/>
          </w:tcPr>
          <w:p>
            <w:pPr>
              <w:spacing w:after="0" w:line="240"/>
              <w:jc w:val="left"/>
            </w:pPr>
          </w:p>
        </w:tc>
        <w:tc>
          <w:tcPr>
            <w:tcW w:type="dxa" w:w="1503"/>
            <w:tcMar>
              <w:top w:type="dxa" w:w="70"/>
              <w:left w:type="dxa" w:w="100"/>
              <w:bottom w:type="dxa" w:w="70"/>
              <w:right w:type="dxa" w:w="100"/>
            </w:tcMar>
            <w:vAlign w:val="center"/>
          </w:tcPr>
          <w:p>
            <w:pPr>
              <w:spacing w:after="0" w:line="240"/>
              <w:jc w:val="left"/>
            </w:pPr>
          </w:p>
        </w:tc>
        <w:tc>
          <w:tcPr>
            <w:tcW w:type="dxa" w:w="135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[NUMBER]</w:t>
            </w:r>
          </w:p>
        </w:tc>
        <w:tc>
          <w:tcPr>
            <w:tcW w:type="dxa" w:w="1203"/>
            <w:tcMar>
              <w:top w:type="dxa" w:w="70"/>
              <w:left w:type="dxa" w:w="100"/>
              <w:bottom w:type="dxa" w:w="70"/>
              <w:right w:type="dxa" w:w="100"/>
            </w:tcMar>
            <w:vAlign w:val="center"/>
          </w:tcPr>
          <w:p>
            <w:pPr>
              <w:spacing w:after="0" w:line="240"/>
              <w:jc w:val="left"/>
            </w:pPr>
          </w:p>
        </w:tc>
        <w:tc>
          <w:tcPr>
            <w:tcW w:type="dxa" w:w="1353"/>
            <w:tcMar>
              <w:top w:type="dxa" w:w="70"/>
              <w:left w:type="dxa" w:w="100"/>
              <w:bottom w:type="dxa" w:w="70"/>
              <w:right w:type="dxa" w:w="100"/>
            </w:tcMar>
            <w:vAlign w:val="center"/>
          </w:tcPr>
          <w:p>
            <w:pPr>
              <w:spacing w:after="0" w:line="240"/>
              <w:jc w:val="left"/>
            </w:pPr>
          </w:p>
        </w:tc>
        <w:tc>
          <w:tcPr>
            <w:tcW w:type="dxa" w:w="1203"/>
            <w:tcMar>
              <w:top w:type="dxa" w:w="70"/>
              <w:left w:type="dxa" w:w="100"/>
              <w:bottom w:type="dxa" w:w="70"/>
              <w:right w:type="dxa" w:w="100"/>
            </w:tcMar>
            <w:vAlign w:val="center"/>
          </w:tcPr>
          <w:p>
            <w:pPr>
              <w:spacing w:after="0" w:line="240"/>
              <w:jc w:val="left"/>
            </w:pPr>
          </w:p>
        </w:tc>
        <w:tc>
          <w:tcPr>
            <w:tcW w:type="dxa" w:w="1503"/>
            <w:tcMar>
              <w:top w:type="dxa" w:w="70"/>
              <w:left w:type="dxa" w:w="100"/>
              <w:bottom w:type="dxa" w:w="70"/>
              <w:right w:type="dxa" w:w="100"/>
            </w:tcMar>
            <w:vAlign w:val="center"/>
          </w:tcPr>
          <w:p>
            <w:pPr>
              <w:spacing w:after="0" w:line="240"/>
              <w:jc w:val="left"/>
            </w:pPr>
          </w:p>
        </w:tc>
        <w:tc>
          <w:tcPr>
            <w:tcW w:type="dxa" w:w="1508"/>
            <w:tcMar>
              <w:top w:type="dxa" w:w="70"/>
              <w:left w:type="dxa" w:w="100"/>
              <w:bottom w:type="dxa" w:w="70"/>
              <w:right w:type="dxa" w:w="100"/>
            </w:tcMar>
            <w:vAlign w:val="center"/>
          </w:tcPr>
          <w:p>
            <w:pPr>
              <w:spacing w:after="0" w:line="240"/>
              <w:jc w:val="left"/>
            </w:pPr>
          </w:p>
        </w:tc>
      </w:tr>
      <w:tr>
        <w:tc>
          <w:tcPr>
            <w:tcW w:type="dxa" w:w="451"/>
            <w:tcMar>
              <w:top w:type="dxa" w:w="70"/>
              <w:left w:type="dxa" w:w="100"/>
              <w:bottom w:type="dxa" w:w="70"/>
              <w:right w:type="dxa" w:w="100"/>
            </w:tcMar>
            <w:vAlign w:val="center"/>
          </w:tcPr>
          <w:p>
            <w:pPr>
              <w:spacing w:after="0" w:line="240"/>
              <w:jc w:val="left"/>
            </w:pPr>
          </w:p>
        </w:tc>
        <w:tc>
          <w:tcPr>
            <w:tcW w:type="dxa" w:w="1954"/>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Available for grant</w:t>
            </w:r>
          </w:p>
        </w:tc>
        <w:tc>
          <w:tcPr>
            <w:tcW w:type="dxa" w:w="1654"/>
            <w:tcMar>
              <w:top w:type="dxa" w:w="70"/>
              <w:left w:type="dxa" w:w="100"/>
              <w:bottom w:type="dxa" w:w="70"/>
              <w:right w:type="dxa" w:w="100"/>
            </w:tcMar>
            <w:vAlign w:val="center"/>
          </w:tcPr>
          <w:p>
            <w:pPr>
              <w:spacing w:after="0" w:line="240"/>
              <w:jc w:val="left"/>
            </w:pPr>
          </w:p>
        </w:tc>
        <w:tc>
          <w:tcPr>
            <w:tcW w:type="dxa" w:w="1353"/>
            <w:tcMar>
              <w:top w:type="dxa" w:w="70"/>
              <w:left w:type="dxa" w:w="100"/>
              <w:bottom w:type="dxa" w:w="70"/>
              <w:right w:type="dxa" w:w="100"/>
            </w:tcMar>
            <w:vAlign w:val="center"/>
          </w:tcPr>
          <w:p>
            <w:pPr>
              <w:spacing w:after="0" w:line="240"/>
              <w:jc w:val="left"/>
            </w:pPr>
          </w:p>
        </w:tc>
        <w:tc>
          <w:tcPr>
            <w:tcW w:type="dxa" w:w="1503"/>
            <w:tcMar>
              <w:top w:type="dxa" w:w="70"/>
              <w:left w:type="dxa" w:w="100"/>
              <w:bottom w:type="dxa" w:w="70"/>
              <w:right w:type="dxa" w:w="100"/>
            </w:tcMar>
            <w:vAlign w:val="center"/>
          </w:tcPr>
          <w:p>
            <w:pPr>
              <w:spacing w:after="0" w:line="240"/>
              <w:jc w:val="left"/>
            </w:pPr>
          </w:p>
        </w:tc>
        <w:tc>
          <w:tcPr>
            <w:tcW w:type="dxa" w:w="135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[NUMBER]</w:t>
            </w:r>
          </w:p>
        </w:tc>
        <w:tc>
          <w:tcPr>
            <w:tcW w:type="dxa" w:w="1203"/>
            <w:tcMar>
              <w:top w:type="dxa" w:w="70"/>
              <w:left w:type="dxa" w:w="100"/>
              <w:bottom w:type="dxa" w:w="70"/>
              <w:right w:type="dxa" w:w="100"/>
            </w:tcMar>
            <w:vAlign w:val="center"/>
          </w:tcPr>
          <w:p>
            <w:pPr>
              <w:spacing w:after="0" w:line="240"/>
              <w:jc w:val="left"/>
            </w:pPr>
          </w:p>
        </w:tc>
        <w:tc>
          <w:tcPr>
            <w:tcW w:type="dxa" w:w="1353"/>
            <w:tcMar>
              <w:top w:type="dxa" w:w="70"/>
              <w:left w:type="dxa" w:w="100"/>
              <w:bottom w:type="dxa" w:w="70"/>
              <w:right w:type="dxa" w:w="100"/>
            </w:tcMar>
            <w:vAlign w:val="center"/>
          </w:tcPr>
          <w:p>
            <w:pPr>
              <w:spacing w:after="0" w:line="240"/>
              <w:jc w:val="left"/>
            </w:pPr>
          </w:p>
        </w:tc>
        <w:tc>
          <w:tcPr>
            <w:tcW w:type="dxa" w:w="1203"/>
            <w:tcMar>
              <w:top w:type="dxa" w:w="70"/>
              <w:left w:type="dxa" w:w="100"/>
              <w:bottom w:type="dxa" w:w="70"/>
              <w:right w:type="dxa" w:w="100"/>
            </w:tcMar>
            <w:vAlign w:val="center"/>
          </w:tcPr>
          <w:p>
            <w:pPr>
              <w:spacing w:after="0" w:line="240"/>
              <w:jc w:val="left"/>
            </w:pPr>
          </w:p>
        </w:tc>
        <w:tc>
          <w:tcPr>
            <w:tcW w:type="dxa" w:w="1503"/>
            <w:tcMar>
              <w:top w:type="dxa" w:w="70"/>
              <w:left w:type="dxa" w:w="100"/>
              <w:bottom w:type="dxa" w:w="70"/>
              <w:right w:type="dxa" w:w="100"/>
            </w:tcMar>
            <w:vAlign w:val="center"/>
          </w:tcPr>
          <w:p>
            <w:pPr>
              <w:spacing w:after="0" w:line="240"/>
              <w:jc w:val="left"/>
            </w:pPr>
          </w:p>
        </w:tc>
        <w:tc>
          <w:tcPr>
            <w:tcW w:type="dxa" w:w="1508"/>
            <w:tcMar>
              <w:top w:type="dxa" w:w="70"/>
              <w:left w:type="dxa" w:w="100"/>
              <w:bottom w:type="dxa" w:w="70"/>
              <w:right w:type="dxa" w:w="100"/>
            </w:tcMar>
            <w:vAlign w:val="center"/>
          </w:tcPr>
          <w:p>
            <w:pPr>
              <w:spacing w:after="0" w:line="240"/>
              <w:jc w:val="left"/>
            </w:pPr>
          </w:p>
        </w:tc>
      </w:tr>
    </w:tbl>
    <w:p>
      <w:pPr>
        <w:spacing w:after="140"/>
      </w:pPr>
    </w:p>
    <w:p>
      <w:pPr>
        <w:spacing w:after="60" w:before="240"/>
        <w:jc w:val="center"/>
      </w:pPr>
      <w:r>
        <w:rPr>
          <w:rFonts w:ascii="Calibri" w:cs="Calibri" w:eastAsia="Calibri" w:hAnsi="Calibri"/>
          <w:b/>
          <w:bCs/>
          <w:color w:val="14161B"/>
          <w:spacing w:val="12"/>
          <w:sz w:val="28"/>
          <w:szCs w:val="28"/>
        </w:rPr>
        <w:t xml:space="preserve">ANNEXURE C</w:t>
      </w:r>
    </w:p>
    <w:p>
      <w:pPr>
        <w:spacing w:after="260"/>
        <w:jc w:val="center"/>
      </w:pPr>
      <w:r>
        <w:rPr>
          <w:rFonts w:ascii="Calibri" w:cs="Calibri" w:eastAsia="Calibri" w:hAnsi="Calibri"/>
          <w:i/>
          <w:iCs/>
          <w:color w:val="6E7480"/>
          <w:sz w:val="19"/>
          <w:szCs w:val="19"/>
        </w:rPr>
        <w:t xml:space="preserve">Reserved for Promised Grants</w:t>
      </w:r>
    </w:p>
    <w:p>
      <w:pPr>
        <w:spacing w:after="120" w:before="0" w:line="276"/>
        <w:jc w:val="both"/>
      </w:pPr>
      <w:r>
        <w:rPr>
          <w:rFonts w:ascii="Calibri" w:cs="Calibri" w:eastAsia="Calibri" w:hAnsi="Calibri"/>
          <w:i/>
          <w:iCs/>
          <w:sz w:val="21"/>
          <w:szCs w:val="21"/>
        </w:rPr>
        <w:t xml:space="preserve">Grants agreed verbally or in an offer letter but not yet documented. These are real commitments and must be provided for when sizing the pool.</w:t>
      </w:r>
    </w:p>
    <w:tbl>
      <w:tblPr>
        <w:tblW w:type="dxa" w:w="15038"/>
        <w:tblBorders>
          <w:top w:val="single" w:color="B9BEC8" w:sz="4"/>
          <w:left w:val="single" w:color="B9BEC8" w:sz="4"/>
          <w:bottom w:val="single" w:color="B9BEC8" w:sz="4"/>
          <w:right w:val="single" w:color="B9BEC8" w:sz="4"/>
          <w:insideH w:val="single" w:color="D3D7DF" w:sz="2"/>
          <w:insideV w:val="single" w:color="D3D7DF" w:sz="2"/>
        </w:tblBorders>
      </w:tblPr>
      <w:tblGrid>
        <w:gridCol w:w="451"/>
        <w:gridCol w:w="2105"/>
        <w:gridCol w:w="1804"/>
        <w:gridCol w:w="2556"/>
        <w:gridCol w:w="3007"/>
        <w:gridCol w:w="1654"/>
        <w:gridCol w:w="1654"/>
        <w:gridCol w:w="1807"/>
      </w:tblGrid>
      <w:tr>
        <w:trPr>
          <w:tblHeader/>
        </w:trPr>
        <w:tc>
          <w:tcPr>
            <w:tcW w:type="dxa" w:w="45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w:t>
            </w:r>
          </w:p>
        </w:tc>
        <w:tc>
          <w:tcPr>
            <w:tcW w:type="dxa" w:w="210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Person</w:t>
            </w:r>
          </w:p>
        </w:tc>
        <w:tc>
          <w:tcPr>
            <w:tcW w:type="dxa" w:w="180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Role</w:t>
            </w:r>
          </w:p>
        </w:tc>
        <w:tc>
          <w:tcPr>
            <w:tcW w:type="dxa" w:w="255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Promised where</w:t>
            </w:r>
          </w:p>
        </w:tc>
        <w:tc>
          <w:tcPr>
            <w:tcW w:type="dxa" w:w="300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Shares or percentage promised</w:t>
            </w:r>
          </w:p>
        </w:tc>
        <w:tc>
          <w:tcPr>
            <w:tcW w:type="dxa" w:w="165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 promised</w:t>
            </w:r>
          </w:p>
        </w:tc>
        <w:tc>
          <w:tcPr>
            <w:tcW w:type="dxa" w:w="165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Documented?</w:t>
            </w:r>
          </w:p>
        </w:tc>
        <w:tc>
          <w:tcPr>
            <w:tcW w:type="dxa" w:w="180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Action</w:t>
            </w:r>
          </w:p>
        </w:tc>
      </w:tr>
      <w:tr>
        <w:tc>
          <w:tcPr>
            <w:tcW w:type="dxa" w:w="451"/>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1</w:t>
            </w:r>
          </w:p>
        </w:tc>
        <w:tc>
          <w:tcPr>
            <w:tcW w:type="dxa" w:w="2105"/>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[NAME]</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[ROLE]</w:t>
            </w:r>
          </w:p>
        </w:tc>
        <w:tc>
          <w:tcPr>
            <w:tcW w:type="dxa" w:w="2556"/>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[Offer letter / Verbal]</w:t>
            </w:r>
          </w:p>
        </w:tc>
        <w:tc>
          <w:tcPr>
            <w:tcW w:type="dxa" w:w="3007"/>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[NUMBER OR %]</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w:t>
            </w:r>
          </w:p>
        </w:tc>
        <w:tc>
          <w:tcPr>
            <w:tcW w:type="dxa" w:w="1807"/>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[Issue grant letter]</w:t>
            </w:r>
          </w:p>
        </w:tc>
      </w:tr>
      <w:tr>
        <w:tc>
          <w:tcPr>
            <w:tcW w:type="dxa" w:w="451"/>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2</w:t>
            </w:r>
          </w:p>
        </w:tc>
        <w:tc>
          <w:tcPr>
            <w:tcW w:type="dxa" w:w="2105"/>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[NAME]</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[ROLE]</w:t>
            </w:r>
          </w:p>
        </w:tc>
        <w:tc>
          <w:tcPr>
            <w:tcW w:type="dxa" w:w="2556"/>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[SOURCE]</w:t>
            </w:r>
          </w:p>
        </w:tc>
        <w:tc>
          <w:tcPr>
            <w:tcW w:type="dxa" w:w="3007"/>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[NUMBER OR %]</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w:t>
            </w:r>
          </w:p>
        </w:tc>
        <w:tc>
          <w:tcPr>
            <w:tcW w:type="dxa" w:w="1807"/>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[ACTION]</w:t>
            </w:r>
          </w:p>
        </w:tc>
      </w:tr>
    </w:tbl>
    <w:p>
      <w:pPr>
        <w:sectPr>
          <w:footerReference w:type="default" r:id="rId11"/>
          <w:footerReference w:type="first" r:id="rId12"/>
          <w:pgSz w:w="16838" w:h="11906" w:orient="landscape"/>
          <w:pgMar w:top="900" w:right="900" w:bottom="900" w:left="900" w:header="708" w:footer="708" w:gutter="0"/>
          <w:pgNumType/>
          <w:titlePg w:val="false"/>
          <w:docGrid w:linePitch="360"/>
        </w:sectPr>
      </w:pPr>
    </w:p>
    <w:p>
      <w:pPr>
        <w:keepNext/>
        <w:spacing w:after="120" w:before="280"/>
        <w:outlineLvl w:val="0"/>
      </w:pPr>
      <w:r>
        <w:rPr>
          <w:rFonts w:ascii="Calibri" w:cs="Calibri" w:eastAsia="Calibri" w:hAnsi="Calibri"/>
          <w:b/>
          <w:bCs/>
          <w:color w:val="14161B"/>
          <w:sz w:val="22"/>
          <w:szCs w:val="22"/>
        </w:rPr>
        <w:t xml:space="preserve">5. WHAT "FULLY DILUTED" INCLUDES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1349"/>
        <w:gridCol w:w="4047"/>
        <w:gridCol w:w="4242"/>
      </w:tblGrid>
      <w:tr>
        <w:trPr>
          <w:tblHeader/>
        </w:trPr>
        <w:tc>
          <w:tcPr>
            <w:tcW w:type="dxa" w:w="134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Included?</w:t>
            </w:r>
          </w:p>
        </w:tc>
        <w:tc>
          <w:tcPr>
            <w:tcW w:type="dxa" w:w="404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Item</w:t>
            </w:r>
          </w:p>
        </w:tc>
        <w:tc>
          <w:tcPr>
            <w:tcW w:type="dxa" w:w="424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Note</w:t>
            </w:r>
          </w:p>
        </w:tc>
      </w:tr>
      <w:tr>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Yes</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Issued shares of every class</w:t>
            </w:r>
          </w:p>
        </w:tc>
        <w:tc>
          <w:tcPr>
            <w:tcW w:type="dxa" w:w="4242"/>
            <w:tcMar>
              <w:top w:type="dxa" w:w="70"/>
              <w:left w:type="dxa" w:w="100"/>
              <w:bottom w:type="dxa" w:w="70"/>
              <w:right w:type="dxa" w:w="100"/>
            </w:tcMar>
            <w:vAlign w:val="center"/>
          </w:tcPr>
          <w:p>
            <w:pPr>
              <w:spacing w:after="0" w:line="240"/>
              <w:jc w:val="left"/>
            </w:pPr>
          </w:p>
        </w:tc>
      </w:tr>
      <w:tr>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Yes</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Options granted and outstanding, vested and unvested</w:t>
            </w:r>
          </w:p>
        </w:tc>
        <w:tc>
          <w:tcPr>
            <w:tcW w:type="dxa" w:w="4242"/>
            <w:tcMar>
              <w:top w:type="dxa" w:w="70"/>
              <w:left w:type="dxa" w:w="100"/>
              <w:bottom w:type="dxa" w:w="70"/>
              <w:right w:type="dxa" w:w="100"/>
            </w:tcMar>
            <w:vAlign w:val="center"/>
          </w:tcPr>
          <w:p>
            <w:pPr>
              <w:spacing w:after="0" w:line="240"/>
              <w:jc w:val="left"/>
            </w:pPr>
          </w:p>
        </w:tc>
      </w:tr>
      <w:tr>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Yes</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Pool authorised but not yet granted</w:t>
            </w:r>
          </w:p>
        </w:tc>
        <w:tc>
          <w:tcPr>
            <w:tcW w:type="dxa" w:w="424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Investors count this; founders often do not</w:t>
            </w:r>
          </w:p>
        </w:tc>
      </w:tr>
      <w:tr>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Yes</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Convertible instruments on an as-converted basis</w:t>
            </w:r>
          </w:p>
        </w:tc>
        <w:tc>
          <w:tcPr>
            <w:tcW w:type="dxa" w:w="424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Notes, convertible agreements</w:t>
            </w:r>
          </w:p>
        </w:tc>
      </w:tr>
      <w:tr>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Yes</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Warrants and any other subscription right</w:t>
            </w:r>
          </w:p>
        </w:tc>
        <w:tc>
          <w:tcPr>
            <w:tcW w:type="dxa" w:w="4242"/>
            <w:tcMar>
              <w:top w:type="dxa" w:w="70"/>
              <w:left w:type="dxa" w:w="100"/>
              <w:bottom w:type="dxa" w:w="70"/>
              <w:right w:type="dxa" w:w="100"/>
            </w:tcMar>
            <w:vAlign w:val="center"/>
          </w:tcPr>
          <w:p>
            <w:pPr>
              <w:spacing w:after="0" w:line="240"/>
              <w:jc w:val="left"/>
            </w:pPr>
          </w:p>
        </w:tc>
      </w:tr>
      <w:tr>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Yes</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Shares promised but not yet issued</w:t>
            </w:r>
          </w:p>
        </w:tc>
        <w:tc>
          <w:tcPr>
            <w:tcW w:type="dxa" w:w="424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Including undocumented commitments</w:t>
            </w:r>
          </w:p>
        </w:tc>
      </w:tr>
      <w:tr>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[Depends]</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Anti-dilution adjustments not yet triggered</w:t>
            </w:r>
          </w:p>
        </w:tc>
        <w:tc>
          <w:tcPr>
            <w:tcW w:type="dxa" w:w="424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Model them if a down round is plausible</w:t>
            </w:r>
          </w:p>
        </w:tc>
      </w:tr>
      <w:tr>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No</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Shares that have lapsed and returned to the pool</w:t>
            </w:r>
          </w:p>
        </w:tc>
        <w:tc>
          <w:tcPr>
            <w:tcW w:type="dxa" w:w="424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They are in the pool line instead</w:t>
            </w:r>
          </w:p>
        </w:tc>
      </w:tr>
    </w:tbl>
    <w:p>
      <w:pPr>
        <w:spacing w:after="140"/>
      </w:pPr>
    </w:p>
    <w:p>
      <w:pPr>
        <w:spacing w:after="120" w:before="60" w:line="276"/>
        <w:ind w:left="720" w:hanging="720"/>
        <w:jc w:val="both"/>
      </w:pPr>
      <w:r>
        <w:rPr>
          <w:rFonts w:ascii="Calibri" w:cs="Calibri" w:eastAsia="Calibri" w:hAnsi="Calibri"/>
          <w:sz w:val="21"/>
          <w:szCs w:val="21"/>
        </w:rPr>
        <w:t xml:space="preserve">5.1	</w:t>
      </w:r>
      <w:r>
        <w:rPr>
          <w:rFonts w:ascii="Calibri" w:cs="Calibri" w:eastAsia="Calibri" w:hAnsi="Calibri"/>
          <w:i/>
          <w:iCs/>
          <w:sz w:val="21"/>
          <w:szCs w:val="21"/>
        </w:rPr>
        <w:t xml:space="preserve">The most common cap table error is omitting the ungranted pool. A table showing founders at 60 per cent that ignores a 15 per cent unallocated pool is overstating their position by a margin that matters.</w:t>
      </w:r>
    </w:p>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Pre-money pool allocation is where founders lose the most</w:t>
      </w:r>
    </w:p>
    <w:p>
      <w:pPr>
        <w:spacing w:after="60" w:line="264"/>
        <w:jc w:val="both"/>
      </w:pPr>
      <w:r>
        <w:rPr>
          <w:rFonts w:ascii="Calibri" w:cs="Calibri" w:eastAsia="Calibri" w:hAnsi="Calibri"/>
          <w:sz w:val="19"/>
          <w:szCs w:val="19"/>
        </w:rPr>
        <w:t xml:space="preserve">An investor requiring a pool top-up inside the pre-money capitalisation shifts the entire dilution onto existing shareholders. The investor’s percentage is unchanged whatever the pool size, which is why they have no reason to keep it small. Negotiating a smaller pool, or a post-money allocation, is frequently worth more than an equivalent argument about valuation.</w:t>
      </w:r>
    </w:p>
    <w:p>
      <w:pPr>
        <w:keepNext/>
        <w:spacing w:after="40" w:before="140"/>
      </w:pPr>
      <w:r>
        <w:rPr>
          <w:rFonts w:ascii="Calibri" w:cs="Calibri" w:eastAsia="Calibri" w:hAnsi="Calibri"/>
          <w:b/>
          <w:bCs/>
          <w:color w:val="14161B"/>
          <w:sz w:val="20"/>
          <w:szCs w:val="20"/>
        </w:rPr>
        <w:t xml:space="preserve">Size against a hiring plan, not a percentage</w:t>
      </w:r>
    </w:p>
    <w:p>
      <w:pPr>
        <w:spacing w:after="60" w:line="264"/>
        <w:jc w:val="both"/>
      </w:pPr>
      <w:r>
        <w:rPr>
          <w:rFonts w:ascii="Calibri" w:cs="Calibri" w:eastAsia="Calibri" w:hAnsi="Calibri"/>
          <w:sz w:val="19"/>
          <w:szCs w:val="19"/>
        </w:rPr>
        <w:t xml:space="preserve">Pick the roles to be filled before the next round, attach a grant to each, add refreshes and undocumented promises, and total it. A percentage plucked from convention either over-dilutes or runs out. If the plan cannot justify the number, the number is wrong.</w:t>
      </w:r>
    </w:p>
    <w:p>
      <w:pPr>
        <w:keepNext/>
        <w:spacing w:after="40" w:before="140"/>
      </w:pPr>
      <w:r>
        <w:rPr>
          <w:rFonts w:ascii="Calibri" w:cs="Calibri" w:eastAsia="Calibri" w:hAnsi="Calibri"/>
          <w:b/>
          <w:bCs/>
          <w:color w:val="14161B"/>
          <w:sz w:val="20"/>
          <w:szCs w:val="20"/>
        </w:rPr>
        <w:t xml:space="preserve">Ungranted pool counts as fully diluted</w:t>
      </w:r>
    </w:p>
    <w:p>
      <w:pPr>
        <w:spacing w:after="60" w:line="264"/>
        <w:jc w:val="both"/>
      </w:pPr>
      <w:r>
        <w:rPr>
          <w:rFonts w:ascii="Calibri" w:cs="Calibri" w:eastAsia="Calibri" w:hAnsi="Calibri"/>
          <w:sz w:val="19"/>
          <w:szCs w:val="19"/>
        </w:rPr>
        <w:t xml:space="preserve">Investors treat authorised-but-ungranted shares as issued. Founders modelling their position without it consistently overstate what they hold. Section 5 lists what belongs in the fully diluted number, and the ungranted pool is the line most often missing.</w:t>
      </w:r>
    </w:p>
    <w:p>
      <w:pPr>
        <w:keepNext/>
        <w:spacing w:after="40" w:before="140"/>
      </w:pPr>
      <w:r>
        <w:rPr>
          <w:rFonts w:ascii="Calibri" w:cs="Calibri" w:eastAsia="Calibri" w:hAnsi="Calibri"/>
          <w:b/>
          <w:bCs/>
          <w:color w:val="14161B"/>
          <w:sz w:val="20"/>
          <w:szCs w:val="20"/>
        </w:rPr>
        <w:t xml:space="preserve">Track undocumented promises</w:t>
      </w:r>
    </w:p>
    <w:p>
      <w:pPr>
        <w:spacing w:after="60" w:line="264"/>
        <w:jc w:val="both"/>
      </w:pPr>
      <w:r>
        <w:rPr>
          <w:rFonts w:ascii="Calibri" w:cs="Calibri" w:eastAsia="Calibri" w:hAnsi="Calibri"/>
          <w:sz w:val="19"/>
          <w:szCs w:val="19"/>
        </w:rPr>
        <w:t xml:space="preserve">Grants agreed in a hiring conversation or an offer letter, and never documented, are real commitments that will surface in diligence and must be honoured. Annexure C exists to make them visible before the pool is sized, not after it is exhausted.</w:t>
      </w:r>
    </w:p>
    <w:p>
      <w:pPr>
        <w:keepNext/>
        <w:spacing w:after="40" w:before="140"/>
      </w:pPr>
      <w:r>
        <w:rPr>
          <w:rFonts w:ascii="Calibri" w:cs="Calibri" w:eastAsia="Calibri" w:hAnsi="Calibri"/>
          <w:b/>
          <w:bCs/>
          <w:color w:val="14161B"/>
          <w:sz w:val="20"/>
          <w:szCs w:val="20"/>
        </w:rPr>
        <w:t xml:space="preserve">Decide whether lapsed options return to the pool</w:t>
      </w:r>
    </w:p>
    <w:p>
      <w:pPr>
        <w:spacing w:after="60" w:line="264"/>
        <w:jc w:val="both"/>
      </w:pPr>
      <w:r>
        <w:rPr>
          <w:rFonts w:ascii="Calibri" w:cs="Calibri" w:eastAsia="Calibri" w:hAnsi="Calibri"/>
          <w:sz w:val="19"/>
          <w:szCs w:val="19"/>
        </w:rPr>
        <w:t xml:space="preserve">Where forfeited shares return, the pool self-replenishes and needs topping up less often. Where they do not, the pool depletes permanently with every leaver. The scheme rules should say which applies, and limb (c) of the resolution assumes return — confirm that matches the rules.</w:t>
      </w:r>
    </w:p>
    <w:p>
      <w:pPr>
        <w:keepNext/>
        <w:spacing w:after="40" w:before="140"/>
      </w:pPr>
      <w:r>
        <w:rPr>
          <w:rFonts w:ascii="Calibri" w:cs="Calibri" w:eastAsia="Calibri" w:hAnsi="Calibri"/>
          <w:b/>
          <w:bCs/>
          <w:color w:val="14161B"/>
          <w:sz w:val="20"/>
          <w:szCs w:val="20"/>
        </w:rPr>
        <w:t xml:space="preserve">Increasing the pool dilutes existing option holders too</w:t>
      </w:r>
    </w:p>
    <w:p>
      <w:pPr>
        <w:spacing w:after="60" w:line="264"/>
        <w:jc w:val="both"/>
      </w:pPr>
      <w:r>
        <w:rPr>
          <w:rFonts w:ascii="Calibri" w:cs="Calibri" w:eastAsia="Calibri" w:hAnsi="Calibri"/>
          <w:sz w:val="19"/>
          <w:szCs w:val="19"/>
        </w:rPr>
        <w:t xml:space="preserve">Employees holding options see their percentage fall when the pool grows, exactly as shareholders do. They are rarely told. Check 8 prompts the explanation; it is better given proactively than discovered at an exit.</w:t>
      </w:r>
    </w:p>
    <w:p>
      <w:pPr>
        <w:keepNext/>
        <w:spacing w:after="40" w:before="140"/>
      </w:pPr>
      <w:r>
        <w:rPr>
          <w:rFonts w:ascii="Calibri" w:cs="Calibri" w:eastAsia="Calibri" w:hAnsi="Calibri"/>
          <w:b/>
          <w:bCs/>
          <w:color w:val="14161B"/>
          <w:sz w:val="20"/>
          <w:szCs w:val="20"/>
        </w:rPr>
        <w:t xml:space="preserve">Check the reserved matters</w:t>
      </w:r>
    </w:p>
    <w:p>
      <w:pPr>
        <w:spacing w:after="60" w:line="264"/>
        <w:jc w:val="both"/>
      </w:pPr>
      <w:r>
        <w:rPr>
          <w:rFonts w:ascii="Calibri" w:cs="Calibri" w:eastAsia="Calibri" w:hAnsi="Calibri"/>
          <w:sz w:val="19"/>
          <w:szCs w:val="19"/>
        </w:rPr>
        <w:t xml:space="preserve">Pool increases are almost always a reserved matter under a shareholders’ agreement. A resolution validly passed under the constitution can still breach the agreement. Obtain the consent in writing before the resolution, not after.</w:t>
      </w:r>
    </w:p>
    <w:p>
      <w:pPr>
        <w:keepNext/>
        <w:spacing w:after="40" w:before="140"/>
      </w:pPr>
      <w:r>
        <w:rPr>
          <w:rFonts w:ascii="Calibri" w:cs="Calibri" w:eastAsia="Calibri" w:hAnsi="Calibri"/>
          <w:b/>
          <w:bCs/>
          <w:color w:val="14161B"/>
          <w:sz w:val="20"/>
          <w:szCs w:val="20"/>
        </w:rPr>
        <w:t xml:space="preserve">Model the anti-dilution effect</w:t>
      </w:r>
    </w:p>
    <w:p>
      <w:pPr>
        <w:spacing w:after="60" w:line="264"/>
        <w:jc w:val="both"/>
      </w:pPr>
      <w:r>
        <w:rPr>
          <w:rFonts w:ascii="Calibri" w:cs="Calibri" w:eastAsia="Calibri" w:hAnsi="Calibri"/>
          <w:sz w:val="19"/>
          <w:szCs w:val="19"/>
        </w:rPr>
        <w:t xml:space="preserve">Where preference shares carry anti-dilution protection, a pool increase combined with a new issue can trigger adjustments that further dilute ordinary holders. Model it before approving, because the arithmetic frequently changes what the round actually delivers to founders.</w:t>
      </w:r>
    </w:p>
    <w:p>
      <w:pPr>
        <w:keepNext/>
        <w:spacing w:after="40" w:before="140"/>
      </w:pPr>
      <w:r>
        <w:rPr>
          <w:rFonts w:ascii="Calibri" w:cs="Calibri" w:eastAsia="Calibri" w:hAnsi="Calibri"/>
          <w:b/>
          <w:bCs/>
          <w:color w:val="14161B"/>
          <w:sz w:val="20"/>
          <w:szCs w:val="20"/>
        </w:rPr>
        <w:t xml:space="preserve">Watch the fifty-member limit</w:t>
      </w:r>
    </w:p>
    <w:p>
      <w:pPr>
        <w:spacing w:after="60" w:line="264"/>
        <w:jc w:val="both"/>
      </w:pPr>
      <w:r>
        <w:rPr>
          <w:rFonts w:ascii="Calibri" w:cs="Calibri" w:eastAsia="Calibri" w:hAnsi="Calibri"/>
          <w:sz w:val="19"/>
          <w:szCs w:val="19"/>
        </w:rPr>
        <w:t xml:space="preserve">A private company is limited to fifty members, excluding employees and former employees who acquired shares while employed and continue to hold. A large pool fully exercised across a broad population should be modelled against that limit before it becomes a live problem.</w:t>
      </w:r>
    </w:p>
    <w:p>
      <w:pPr>
        <w:keepNext/>
        <w:spacing w:after="40" w:before="140"/>
      </w:pPr>
      <w:r>
        <w:rPr>
          <w:rFonts w:ascii="Calibri" w:cs="Calibri" w:eastAsia="Calibri" w:hAnsi="Calibri"/>
          <w:b/>
          <w:bCs/>
          <w:color w:val="14161B"/>
          <w:sz w:val="20"/>
          <w:szCs w:val="20"/>
        </w:rPr>
        <w:t xml:space="preserve">Keep one cap table, reconciled to the register</w:t>
      </w:r>
    </w:p>
    <w:p>
      <w:pPr>
        <w:spacing w:after="60" w:line="264"/>
        <w:jc w:val="both"/>
      </w:pPr>
      <w:r>
        <w:rPr>
          <w:rFonts w:ascii="Calibri" w:cs="Calibri" w:eastAsia="Calibri" w:hAnsi="Calibri"/>
          <w:sz w:val="19"/>
          <w:szCs w:val="19"/>
        </w:rPr>
        <w:t xml:space="preserve">Multiple spreadsheets held by the founder, the CFO and the investor drift apart within months. Maintain one, reconcile it to the register of members maintained by the Registrar, and update it on every allotment and exercise rather than before a financing.</w:t>
      </w:r>
    </w:p>
    <w:p>
      <w:pPr>
        <w:keepNext/>
        <w:spacing w:after="40" w:before="140"/>
      </w:pPr>
      <w:r>
        <w:rPr>
          <w:rFonts w:ascii="Calibri" w:cs="Calibri" w:eastAsia="Calibri" w:hAnsi="Calibri"/>
          <w:b/>
          <w:bCs/>
          <w:color w:val="14161B"/>
          <w:sz w:val="20"/>
          <w:szCs w:val="20"/>
        </w:rPr>
        <w:t xml:space="preserve">Refreshes matter more than initial grants</w:t>
      </w:r>
    </w:p>
    <w:p>
      <w:pPr>
        <w:spacing w:after="60" w:line="264"/>
        <w:jc w:val="both"/>
      </w:pPr>
      <w:r>
        <w:rPr>
          <w:rFonts w:ascii="Calibri" w:cs="Calibri" w:eastAsia="Calibri" w:hAnsi="Calibri"/>
          <w:sz w:val="19"/>
          <w:szCs w:val="19"/>
        </w:rPr>
        <w:t xml:space="preserve">An employee three years in, fully vested, has nothing further to earn. Refresh grants are what retain people past the original vesting period, and pools sized only for new hires run dry precisely when the team the company most wants to keep needs them.</w:t>
      </w:r>
    </w:p>
    <w:p>
      <w:pPr>
        <w:keepNext/>
        <w:spacing w:after="40" w:before="140"/>
      </w:pPr>
      <w:r>
        <w:rPr>
          <w:rFonts w:ascii="Calibri" w:cs="Calibri" w:eastAsia="Calibri" w:hAnsi="Calibri"/>
          <w:b/>
          <w:bCs/>
          <w:color w:val="14161B"/>
          <w:sz w:val="20"/>
          <w:szCs w:val="20"/>
        </w:rPr>
        <w:t xml:space="preserve">Do not grant beyond the pool</w:t>
      </w:r>
    </w:p>
    <w:p>
      <w:pPr>
        <w:spacing w:after="60" w:line="264"/>
        <w:jc w:val="both"/>
      </w:pPr>
      <w:r>
        <w:rPr>
          <w:rFonts w:ascii="Calibri" w:cs="Calibri" w:eastAsia="Calibri" w:hAnsi="Calibri"/>
          <w:sz w:val="19"/>
          <w:szCs w:val="19"/>
        </w:rPr>
        <w:t xml:space="preserve">Granting options over shares not authorised under the scheme creates commitments the company cannot lawfully satisfy without a further approval it may not obtain. Track availability continuously using Annexure B rather than checking at grant time.</w:t>
      </w:r>
    </w:p>
    <w:p>
      <w:pPr>
        <w:keepNext/>
        <w:spacing w:after="40" w:before="140"/>
      </w:pPr>
      <w:r>
        <w:rPr>
          <w:rFonts w:ascii="Calibri" w:cs="Calibri" w:eastAsia="Calibri" w:hAnsi="Calibri"/>
          <w:b/>
          <w:bCs/>
          <w:color w:val="14161B"/>
          <w:sz w:val="20"/>
          <w:szCs w:val="20"/>
        </w:rPr>
        <w:t xml:space="preserve">Express grants in shares, not percentages</w:t>
      </w:r>
    </w:p>
    <w:p>
      <w:pPr>
        <w:spacing w:after="60" w:line="264"/>
        <w:jc w:val="both"/>
      </w:pPr>
      <w:r>
        <w:rPr>
          <w:rFonts w:ascii="Calibri" w:cs="Calibri" w:eastAsia="Calibri" w:hAnsi="Calibri"/>
          <w:sz w:val="19"/>
          <w:szCs w:val="19"/>
        </w:rPr>
        <w:t xml:space="preserve">A promise of "one per cent" is a moving target that grows more expensive with every issue and creates disputes about the measurement date. Grant a fixed number of shares and explain what percentage it represents today.</w:t>
      </w:r>
    </w:p>
    <w:p>
      <w:pPr>
        <w:keepNext/>
        <w:spacing w:after="40" w:before="140"/>
      </w:pPr>
      <w:r>
        <w:rPr>
          <w:rFonts w:ascii="Calibri" w:cs="Calibri" w:eastAsia="Calibri" w:hAnsi="Calibri"/>
          <w:b/>
          <w:bCs/>
          <w:color w:val="14161B"/>
          <w:sz w:val="20"/>
          <w:szCs w:val="20"/>
        </w:rPr>
        <w:t xml:space="preserve">Recompute after every round</w:t>
      </w:r>
    </w:p>
    <w:p>
      <w:pPr>
        <w:spacing w:after="60" w:line="264"/>
        <w:jc w:val="both"/>
      </w:pPr>
      <w:r>
        <w:rPr>
          <w:rFonts w:ascii="Calibri" w:cs="Calibri" w:eastAsia="Calibri" w:hAnsi="Calibri"/>
          <w:sz w:val="19"/>
          <w:szCs w:val="19"/>
        </w:rPr>
        <w:t xml:space="preserve">Pool percentage, availability and the effect of outstanding convertibles all change with each financing. The cap table should be rebuilt after closing, not carried forward with the round bolted on.</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Singapore practice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Approval requirements under the Companies Act 1967, the private company member limit, and the tax treatment of equity awards all change — have any pool increase reviewed alongside the shareholders’ agreement by a corporate lawyer, and model the dilution before agreeing a term sheet.</w:t>
      </w:r>
    </w:p>
    <w:sectPr>
      <w:footerReference w:type="default" r:id="rId13"/>
      <w:footerReference w:type="first" r:id="rId14"/>
      <w:pgSz w:w="11906" w:h="16838" w:orient="portrait"/>
      <w:pgMar w:top="1080" w:right="1134" w:bottom="1080" w:left="1134" w:header="708" w:footer="708" w:gutter="0"/>
      <w:pgNumType/>
      <w:titlePg w:val="fals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150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150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footer" Target="footer4.xml"/><Relationship Id="rId13" Type="http://schemas.openxmlformats.org/officeDocument/2006/relationships/footer" Target="footer5.xml"/><Relationship Id="rId14" Type="http://schemas.openxmlformats.org/officeDocument/2006/relationships/footer" Target="footer6.xml"/><Relationship Id="rId15"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er3.xml.rels><?xml version="1.0" encoding="UTF-8"?><Relationships xmlns="http://schemas.openxmlformats.org/package/2006/relationships"/>
</file>

<file path=word/_rels/footer4.xml.rels><?xml version="1.0" encoding="UTF-8"?><Relationships xmlns="http://schemas.openxmlformats.org/package/2006/relationships"/>
</file>

<file path=word/_rels/footer5.xml.rels><?xml version="1.0" encoding="UTF-8"?><Relationships xmlns="http://schemas.openxmlformats.org/package/2006/relationships"/>
</file>

<file path=word/_rels/footer6.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2026-08-22T06:55:30.657Z</dcterms:created>
  <dcterms:modified xsi:type="dcterms:W3CDTF">2026-08-22T06:55:30.657Z</dcterms:modified>
</cp:coreProperties>
</file>

<file path=docProps/custom.xml><?xml version="1.0" encoding="utf-8"?>
<Properties xmlns="http://schemas.openxmlformats.org/officeDocument/2006/custom-properties" xmlns:vt="http://schemas.openxmlformats.org/officeDocument/2006/docPropsVTypes"/>
</file>