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NON-DISCLOSURE AGREEMENT</w:t>
      </w:r>
    </w:p>
    <w:p>
      <w:pPr>
        <w:spacing w:after="260"/>
        <w:jc w:val="center"/>
      </w:pPr>
      <w:r>
        <w:rPr>
          <w:rFonts w:ascii="Calibri" w:cs="Calibri" w:eastAsia="Calibri" w:hAnsi="Calibri"/>
          <w:i/>
          <w:iCs/>
          <w:color w:val="6E7480"/>
          <w:sz w:val="19"/>
          <w:szCs w:val="19"/>
        </w:rPr>
        <w:t xml:space="preserve">Mutual and one-way</w:t>
      </w:r>
    </w:p>
    <w:p>
      <w:pPr>
        <w:spacing w:after="180" w:before="0" w:line="276"/>
        <w:jc w:val="both"/>
      </w:pPr>
      <w:r>
        <w:rPr>
          <w:rFonts w:ascii="Calibri" w:cs="Calibri" w:eastAsia="Calibri" w:hAnsi="Calibri"/>
          <w:i/>
          <w:iCs/>
          <w:color w:val="6E7480"/>
          <w:sz w:val="21"/>
          <w:szCs w:val="21"/>
        </w:rPr>
        <w:t xml:space="preserve">The two clauses that decide whether an NDA is worth signing are the </w:t>
      </w:r>
      <w:r>
        <w:rPr>
          <w:rFonts w:ascii="Calibri" w:cs="Calibri" w:eastAsia="Calibri" w:hAnsi="Calibri"/>
          <w:b/>
          <w:bCs/>
          <w:i/>
          <w:iCs/>
          <w:color w:val="6E7480"/>
          <w:sz w:val="21"/>
          <w:szCs w:val="21"/>
        </w:rPr>
        <w:t xml:space="preserve">purpose</w:t>
      </w:r>
      <w:r>
        <w:rPr>
          <w:rFonts w:ascii="Calibri" w:cs="Calibri" w:eastAsia="Calibri" w:hAnsi="Calibri"/>
          <w:i/>
          <w:iCs/>
          <w:color w:val="6E7480"/>
          <w:sz w:val="21"/>
          <w:szCs w:val="21"/>
        </w:rPr>
        <w:t xml:space="preserve"> and the </w:t>
      </w:r>
      <w:r>
        <w:rPr>
          <w:rFonts w:ascii="Calibri" w:cs="Calibri" w:eastAsia="Calibri" w:hAnsi="Calibri"/>
          <w:b/>
          <w:bCs/>
          <w:i/>
          <w:iCs/>
          <w:color w:val="6E7480"/>
          <w:sz w:val="21"/>
          <w:szCs w:val="21"/>
        </w:rPr>
        <w:t xml:space="preserve">duration</w:t>
      </w:r>
      <w:r>
        <w:rPr>
          <w:rFonts w:ascii="Calibri" w:cs="Calibri" w:eastAsia="Calibri" w:hAnsi="Calibri"/>
          <w:i/>
          <w:iCs/>
          <w:color w:val="6E7480"/>
          <w:sz w:val="21"/>
          <w:szCs w:val="21"/>
        </w:rPr>
        <w:t xml:space="preserve">. A purpose drafted as "evaluating a potential business relationship" permits almost any use; an unlimited duration is unenforceable in practice and signals the drafter did not think. Everything else is machinery.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[Mutual, both disclose — or one-way, only the named party discloses]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Party A</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Party B</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[registration]</w:t>
            </w:r>
            <w:r>
              <w:rPr>
                <w:rFonts w:ascii="Calibri" w:cs="Calibri" w:eastAsia="Calibri" w:hAnsi="Calibri"/>
                <w:sz w:val="19"/>
                <w:szCs w:val="19"/>
              </w:rPr>
              <w:t xml:space="preserve"> </w:t>
            </w:r>
            <w:r>
              <w:rPr>
                <w:rFonts w:ascii="Calibri" w:cs="Calibri" w:eastAsia="Calibri" w:hAnsi="Calibri"/>
                <w:b/>
                <w:bCs/>
                <w:sz w:val="19"/>
                <w:szCs w:val="19"/>
              </w:rPr>
              <w:t xml:space="preserve">[NUMBER]</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Purpose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IT SPECIFICALLY — see the notes]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 of the agreement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w:t>
            </w:r>
            <w:r>
              <w:rPr>
                <w:rFonts w:ascii="Calibri" w:cs="Calibri" w:eastAsia="Calibri" w:hAnsi="Calibri"/>
                <w:sz w:val="19"/>
                <w:szCs w:val="19"/>
              </w:rPr>
              <w:t xml:space="preserve"> years from the date above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Confidentiality period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w:t>
            </w:r>
            <w:r>
              <w:rPr>
                <w:rFonts w:ascii="Calibri" w:cs="Calibri" w:eastAsia="Calibri" w:hAnsi="Calibri"/>
                <w:sz w:val="19"/>
                <w:szCs w:val="19"/>
              </w:rPr>
              <w:t xml:space="preserve"> years from disclosure </w:t>
            </w:r>
            <w:r>
              <w:rPr>
                <w:rFonts w:ascii="Calibri" w:cs="Calibri" w:eastAsia="Calibri" w:hAnsi="Calibri"/>
                <w:b/>
                <w:bCs/>
                <w:sz w:val="19"/>
                <w:szCs w:val="19"/>
              </w:rPr>
              <w:t xml:space="preserve">[, indefinite for trade secrets]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Dispute resolution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[Singapore courts / SIAC arbitration]</w:t>
            </w:r>
          </w:p>
        </w:tc>
      </w:tr>
    </w:tbl>
    <w:p>
      <w:pPr>
        <w:spacing w:after="180"/>
      </w:pPr>
    </w:p>
    <w:p>
      <w:pPr>
        <w:spacing w:after="140" w:before="0" w:line="276"/>
        <w:jc w:val="both"/>
      </w:pPr>
      <w:r>
        <w:rPr>
          <w:rFonts w:ascii="Calibri" w:cs="Calibri" w:eastAsia="Calibri" w:hAnsi="Calibri"/>
          <w:b/>
          <w:bCs/>
          <w:sz w:val="21"/>
          <w:szCs w:val="21"/>
        </w:rPr>
        <w:t xml:space="preserve">THIS AGREEMENT</w:t>
      </w:r>
      <w:r>
        <w:rPr>
          <w:rFonts w:ascii="Calibri" w:cs="Calibri" w:eastAsia="Calibri" w:hAnsi="Calibri"/>
          <w:sz w:val="21"/>
          <w:szCs w:val="21"/>
        </w:rPr>
        <w:t xml:space="preserve"> is made on </w:t>
      </w:r>
      <w:r>
        <w:rPr>
          <w:rFonts w:ascii="Calibri" w:cs="Calibri" w:eastAsia="Calibri" w:hAnsi="Calibri"/>
          <w:b/>
          <w:bCs/>
          <w:sz w:val="21"/>
          <w:szCs w:val="21"/>
        </w:rPr>
        <w:t xml:space="preserve">[DATE]</w:t>
      </w:r>
      <w:r>
        <w:rPr>
          <w:rFonts w:ascii="Calibri" w:cs="Calibri" w:eastAsia="Calibri" w:hAnsi="Calibri"/>
          <w:sz w:val="21"/>
          <w:szCs w:val="21"/>
        </w:rPr>
        <w:t xml:space="preserve"> between </w:t>
      </w:r>
      <w:r>
        <w:rPr>
          <w:rFonts w:ascii="Calibri" w:cs="Calibri" w:eastAsia="Calibri" w:hAnsi="Calibri"/>
          <w:b/>
          <w:bCs/>
          <w:sz w:val="21"/>
          <w:szCs w:val="21"/>
        </w:rPr>
        <w:t xml:space="preserve">[PARTY A]</w:t>
      </w:r>
      <w:r>
        <w:rPr>
          <w:rFonts w:ascii="Calibri" w:cs="Calibri" w:eastAsia="Calibri" w:hAnsi="Calibri"/>
          <w:sz w:val="21"/>
          <w:szCs w:val="21"/>
        </w:rPr>
        <w:t xml:space="preserve"> and </w:t>
      </w:r>
      <w:r>
        <w:rPr>
          <w:rFonts w:ascii="Calibri" w:cs="Calibri" w:eastAsia="Calibri" w:hAnsi="Calibri"/>
          <w:b/>
          <w:bCs/>
          <w:sz w:val="21"/>
          <w:szCs w:val="21"/>
        </w:rPr>
        <w:t xml:space="preserve">[PARTY B]</w:t>
      </w:r>
      <w:r>
        <w:rPr>
          <w:rFonts w:ascii="Calibri" w:cs="Calibri" w:eastAsia="Calibri" w:hAnsi="Calibri"/>
          <w:sz w:val="21"/>
          <w:szCs w:val="21"/>
        </w:rPr>
        <w:t xml:space="preserve"> (each a "</w:t>
      </w:r>
      <w:r>
        <w:rPr>
          <w:rFonts w:ascii="Calibri" w:cs="Calibri" w:eastAsia="Calibri" w:hAnsi="Calibri"/>
          <w:b/>
          <w:bCs/>
          <w:sz w:val="21"/>
          <w:szCs w:val="21"/>
        </w:rPr>
        <w:t xml:space="preserve">Party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 PURPOSE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Parties wish to </w:t>
      </w:r>
      <w:r>
        <w:rPr>
          <w:rFonts w:ascii="Calibri" w:cs="Calibri" w:eastAsia="Calibri" w:hAnsi="Calibri"/>
          <w:b/>
          <w:bCs/>
          <w:sz w:val="21"/>
          <w:szCs w:val="21"/>
        </w:rPr>
        <w:t xml:space="preserve">[discuss / evaluate]</w:t>
      </w:r>
      <w:r>
        <w:rPr>
          <w:rFonts w:ascii="Calibri" w:cs="Calibri" w:eastAsia="Calibri" w:hAnsi="Calibri"/>
          <w:sz w:val="21"/>
          <w:szCs w:val="21"/>
        </w:rPr>
        <w:t xml:space="preserve"> </w:t>
      </w:r>
      <w:r>
        <w:rPr>
          <w:rFonts w:ascii="Calibri" w:cs="Calibri" w:eastAsia="Calibri" w:hAnsi="Calibri"/>
          <w:b/>
          <w:bCs/>
          <w:sz w:val="21"/>
          <w:szCs w:val="21"/>
        </w:rPr>
        <w:t xml:space="preserve">[DESCRIBE THE SPECIFIC TRANSACTION OR PROJECT]</w:t>
      </w:r>
      <w:r>
        <w:rPr>
          <w:rFonts w:ascii="Calibri" w:cs="Calibri" w:eastAsia="Calibri" w:hAnsi="Calibri"/>
          <w:sz w:val="21"/>
          <w:szCs w:val="21"/>
        </w:rPr>
        <w:t xml:space="preserve"> (the "</w:t>
      </w:r>
      <w:r>
        <w:rPr>
          <w:rFonts w:ascii="Calibri" w:cs="Calibri" w:eastAsia="Calibri" w:hAnsi="Calibri"/>
          <w:b/>
          <w:bCs/>
          <w:sz w:val="21"/>
          <w:szCs w:val="21"/>
        </w:rPr>
        <w:t xml:space="preserve">Purpose</w:t>
      </w:r>
      <w:r>
        <w:rPr>
          <w:rFonts w:ascii="Calibri" w:cs="Calibri" w:eastAsia="Calibri" w:hAnsi="Calibri"/>
          <w:sz w:val="21"/>
          <w:szCs w:val="21"/>
        </w:rPr>
        <w:t xml:space="preserve">") and may disclose confidential information to each other for that Purpose.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Confidential Information may be used </w:t>
      </w:r>
      <w:r>
        <w:rPr>
          <w:rFonts w:ascii="Calibri" w:cs="Calibri" w:eastAsia="Calibri" w:hAnsi="Calibri"/>
          <w:b/>
          <w:bCs/>
          <w:sz w:val="21"/>
          <w:szCs w:val="21"/>
        </w:rPr>
        <w:t xml:space="preserve">only for the Purpose</w:t>
      </w:r>
      <w:r>
        <w:rPr>
          <w:rFonts w:ascii="Calibri" w:cs="Calibri" w:eastAsia="Calibri" w:hAnsi="Calibri"/>
          <w:sz w:val="21"/>
          <w:szCs w:val="21"/>
        </w:rPr>
        <w:t xml:space="preserve"> and for no other purpose.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i/>
          <w:iCs/>
          <w:sz w:val="21"/>
          <w:szCs w:val="21"/>
        </w:rPr>
        <w:t xml:space="preserve">Draft the Purpose narrowly. "Exploring a potential business relationship" permits the recipient to use your information for almost anything and still claim compliance.</w:t>
      </w:r>
    </w:p>
    <w:p>
      <w:pPr>
        <w:keepNext/>
        <w:spacing w:after="120" w:before="280"/>
        <w:outlineLvl w:val="0"/>
      </w:pPr>
      <w:r>
        <w:rPr>
          <w:rFonts w:ascii="Calibri" w:cs="Calibri" w:eastAsia="Calibri" w:hAnsi="Calibri"/>
          <w:b/>
          <w:bCs/>
          <w:color w:val="14161B"/>
          <w:sz w:val="22"/>
          <w:szCs w:val="22"/>
        </w:rPr>
        <w:t xml:space="preserve">2. CONFIDENTIAL INFORMATION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t>
      </w:r>
      <w:r>
        <w:rPr>
          <w:rFonts w:ascii="Calibri" w:cs="Calibri" w:eastAsia="Calibri" w:hAnsi="Calibri"/>
          <w:b/>
          <w:bCs/>
          <w:sz w:val="21"/>
          <w:szCs w:val="21"/>
        </w:rPr>
        <w:t xml:space="preserve">Confidential Information</w:t>
      </w:r>
      <w:r>
        <w:rPr>
          <w:rFonts w:ascii="Calibri" w:cs="Calibri" w:eastAsia="Calibri" w:hAnsi="Calibri"/>
          <w:sz w:val="21"/>
          <w:szCs w:val="21"/>
        </w:rPr>
        <w:t xml:space="preserve">" means information disclosed by or on behalf of a Party (the "</w:t>
      </w:r>
      <w:r>
        <w:rPr>
          <w:rFonts w:ascii="Calibri" w:cs="Calibri" w:eastAsia="Calibri" w:hAnsi="Calibri"/>
          <w:b/>
          <w:bCs/>
          <w:sz w:val="21"/>
          <w:szCs w:val="21"/>
        </w:rPr>
        <w:t xml:space="preserve">Discloser</w:t>
      </w:r>
      <w:r>
        <w:rPr>
          <w:rFonts w:ascii="Calibri" w:cs="Calibri" w:eastAsia="Calibri" w:hAnsi="Calibri"/>
          <w:sz w:val="21"/>
          <w:szCs w:val="21"/>
        </w:rPr>
        <w:t xml:space="preserve">") to the other (the "</w:t>
      </w:r>
      <w:r>
        <w:rPr>
          <w:rFonts w:ascii="Calibri" w:cs="Calibri" w:eastAsia="Calibri" w:hAnsi="Calibri"/>
          <w:b/>
          <w:bCs/>
          <w:sz w:val="21"/>
          <w:szCs w:val="21"/>
        </w:rPr>
        <w:t xml:space="preserve">Recipient</w:t>
      </w:r>
      <w:r>
        <w:rPr>
          <w:rFonts w:ascii="Calibri" w:cs="Calibri" w:eastAsia="Calibri" w:hAnsi="Calibri"/>
          <w:sz w:val="21"/>
          <w:szCs w:val="21"/>
        </w:rPr>
        <w:t xml:space="preserve">") in connection with the Purpose, in any form, that is confidential or that a reasonable person would understand to be confidential, including business plans, financial information, customer and supplier information, pricing, technical information, source code, designs, know-how, and the existence and content of discussions between the Parties.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Confidential Information does </w:t>
      </w:r>
      <w:r>
        <w:rPr>
          <w:rFonts w:ascii="Calibri" w:cs="Calibri" w:eastAsia="Calibri" w:hAnsi="Calibri"/>
          <w:b/>
          <w:bCs/>
          <w:sz w:val="21"/>
          <w:szCs w:val="21"/>
        </w:rPr>
        <w:t xml:space="preserve">not</w:t>
      </w:r>
      <w:r>
        <w:rPr>
          <w:rFonts w:ascii="Calibri" w:cs="Calibri" w:eastAsia="Calibri" w:hAnsi="Calibri"/>
          <w:sz w:val="21"/>
          <w:szCs w:val="21"/>
        </w:rPr>
        <w:t xml:space="preserve"> include information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is or becomes public other than through breach of this agreement;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Recipient already lawfully held without an obligation of confidence, as shown by its records;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 lawfully received from a third party free of any obligation of confidence; 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is independently developed by the Recipient without use of or reference to the Confidential Information.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Information is not excluded merely because it is a combination of items each of which is individually public.</w:t>
      </w:r>
    </w:p>
    <w:p>
      <w:pPr>
        <w:keepNext/>
        <w:spacing w:after="120" w:before="280"/>
        <w:outlineLvl w:val="0"/>
      </w:pPr>
      <w:r>
        <w:rPr>
          <w:rFonts w:ascii="Calibri" w:cs="Calibri" w:eastAsia="Calibri" w:hAnsi="Calibri"/>
          <w:b/>
          <w:bCs/>
          <w:color w:val="14161B"/>
          <w:sz w:val="22"/>
          <w:szCs w:val="22"/>
        </w:rPr>
        <w:t xml:space="preserve">3. OBLIGATIONS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Recipient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keep the Confidential Information confidential and protect it with at least the care it applies to its own confidential information, and in any event no less than reasonable care;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use it only for the Purpose;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disclose it only to those of its </w:t>
      </w:r>
      <w:r>
        <w:rPr>
          <w:rFonts w:ascii="Calibri" w:cs="Calibri" w:eastAsia="Calibri" w:hAnsi="Calibri"/>
          <w:b/>
          <w:bCs/>
          <w:sz w:val="21"/>
          <w:szCs w:val="21"/>
        </w:rPr>
        <w:t xml:space="preserve">[directors, employees and professional advisers]</w:t>
      </w:r>
      <w:r>
        <w:rPr>
          <w:rFonts w:ascii="Calibri" w:cs="Calibri" w:eastAsia="Calibri" w:hAnsi="Calibri"/>
          <w:sz w:val="21"/>
          <w:szCs w:val="21"/>
        </w:rPr>
        <w:t xml:space="preserve"> who need it for the Purpose, who have been informed of its confidential nature, and who are bound by obligations no less protective than these;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remain responsible for any breach by a person to whom it discloses;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notify the Discloser promptly on becoming aware of any unauthorised use or disclosure.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[Where relevant]</w:t>
      </w:r>
      <w:r>
        <w:rPr>
          <w:rFonts w:ascii="Calibri" w:cs="Calibri" w:eastAsia="Calibri" w:hAnsi="Calibri"/>
          <w:sz w:val="21"/>
          <w:szCs w:val="21"/>
        </w:rPr>
        <w:t xml:space="preserve"> The Recipient shall not disclose the Confidential Information to any </w:t>
      </w:r>
      <w:r>
        <w:rPr>
          <w:rFonts w:ascii="Calibri" w:cs="Calibri" w:eastAsia="Calibri" w:hAnsi="Calibri"/>
          <w:b/>
          <w:bCs/>
          <w:sz w:val="21"/>
          <w:szCs w:val="21"/>
        </w:rPr>
        <w:t xml:space="preserve">[named competitor]</w:t>
      </w:r>
      <w:r>
        <w:rPr>
          <w:rFonts w:ascii="Calibri" w:cs="Calibri" w:eastAsia="Calibri" w:hAnsi="Calibri"/>
          <w:sz w:val="21"/>
          <w:szCs w:val="21"/>
        </w:rPr>
        <w:t xml:space="preserve"> or to any person outside Singapore without the Discloser’s prior written consent.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Recipient shall not reverse engineer, decompile or disassemble any material or product provided.</w:t>
      </w:r>
    </w:p>
    <w:p>
      <w:pPr>
        <w:keepNext/>
        <w:spacing w:after="120" w:before="280"/>
        <w:outlineLvl w:val="0"/>
      </w:pPr>
      <w:r>
        <w:rPr>
          <w:rFonts w:ascii="Calibri" w:cs="Calibri" w:eastAsia="Calibri" w:hAnsi="Calibri"/>
          <w:b/>
          <w:bCs/>
          <w:color w:val="14161B"/>
          <w:sz w:val="22"/>
          <w:szCs w:val="22"/>
        </w:rPr>
        <w:t xml:space="preserve">4. PERMITTED DISCLOSURE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Recipient may disclose Confidential Information to the extent required by law, by a court, or by a regulator, provided that it (so far as lawful and practicable) notifies the Discloser first, gives the Discloser a reasonable opportunity to object or seek protective measures, and discloses only what is required.</w:t>
      </w:r>
    </w:p>
    <w:p>
      <w:pPr>
        <w:keepNext/>
        <w:spacing w:after="120" w:before="280"/>
        <w:outlineLvl w:val="0"/>
      </w:pPr>
      <w:r>
        <w:rPr>
          <w:rFonts w:ascii="Calibri" w:cs="Calibri" w:eastAsia="Calibri" w:hAnsi="Calibri"/>
          <w:b/>
          <w:bCs/>
          <w:color w:val="14161B"/>
          <w:sz w:val="22"/>
          <w:szCs w:val="22"/>
        </w:rPr>
        <w:t xml:space="preserve">5. NO RIGHTS GRANTED</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Nothing in this agreement transfers or licenses any intellectual property. All Confidential Information remains the property of the Discloser.</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Discloser makes </w:t>
      </w:r>
      <w:r>
        <w:rPr>
          <w:rFonts w:ascii="Calibri" w:cs="Calibri" w:eastAsia="Calibri" w:hAnsi="Calibri"/>
          <w:b/>
          <w:bCs/>
          <w:sz w:val="21"/>
          <w:szCs w:val="21"/>
        </w:rPr>
        <w:t xml:space="preserve">no representation or warranty</w:t>
      </w:r>
      <w:r>
        <w:rPr>
          <w:rFonts w:ascii="Calibri" w:cs="Calibri" w:eastAsia="Calibri" w:hAnsi="Calibri"/>
          <w:sz w:val="21"/>
          <w:szCs w:val="21"/>
        </w:rPr>
        <w:t xml:space="preserve"> as to the accuracy or completeness of the Confidential Information, save as expressly agreed in any definitive agreement.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This agreement does not oblige either Party to disclose anything, to enter into any transaction, or to continue discussions.</w:t>
      </w:r>
    </w:p>
    <w:p>
      <w:pPr>
        <w:keepNext/>
        <w:spacing w:after="120" w:before="280"/>
        <w:outlineLvl w:val="0"/>
      </w:pPr>
      <w:r>
        <w:rPr>
          <w:rFonts w:ascii="Calibri" w:cs="Calibri" w:eastAsia="Calibri" w:hAnsi="Calibri"/>
          <w:b/>
          <w:bCs/>
          <w:color w:val="14161B"/>
          <w:sz w:val="22"/>
          <w:szCs w:val="22"/>
        </w:rPr>
        <w:t xml:space="preserve">6. RETURN AND DELETION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On the Discloser’s written request, or on termination, the Recipient shall promptly return or </w:t>
      </w:r>
      <w:r>
        <w:rPr>
          <w:rFonts w:ascii="Calibri" w:cs="Calibri" w:eastAsia="Calibri" w:hAnsi="Calibri"/>
          <w:b/>
          <w:bCs/>
          <w:sz w:val="21"/>
          <w:szCs w:val="21"/>
        </w:rPr>
        <w:t xml:space="preserve">securely destroy</w:t>
      </w:r>
      <w:r>
        <w:rPr>
          <w:rFonts w:ascii="Calibri" w:cs="Calibri" w:eastAsia="Calibri" w:hAnsi="Calibri"/>
          <w:sz w:val="21"/>
          <w:szCs w:val="21"/>
        </w:rPr>
        <w:t xml:space="preserve"> all Confidential Information and all copies, notes and derived materials, and confirm in writing that it has done so.</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Recipient may retain one copy to the extent required by law or its </w:t>
      </w:r>
      <w:r>
        <w:rPr>
          <w:rFonts w:ascii="Calibri" w:cs="Calibri" w:eastAsia="Calibri" w:hAnsi="Calibri"/>
          <w:b/>
          <w:bCs/>
          <w:sz w:val="21"/>
          <w:szCs w:val="21"/>
        </w:rPr>
        <w:t xml:space="preserve">bona fide</w:t>
      </w:r>
      <w:r>
        <w:rPr>
          <w:rFonts w:ascii="Calibri" w:cs="Calibri" w:eastAsia="Calibri" w:hAnsi="Calibri"/>
          <w:sz w:val="21"/>
          <w:szCs w:val="21"/>
        </w:rPr>
        <w:t xml:space="preserve"> internal record-keeping or backup policies, provided it remains subject to this agreement for as long as it is retained.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i/>
          <w:iCs/>
          <w:sz w:val="21"/>
          <w:szCs w:val="21"/>
        </w:rPr>
        <w:t xml:space="preserve">Clause 6.2 is realistic — backups cannot be selectively purged. A return-and-destroy clause with no carve-out is routinely breached the moment it is signed.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7. DURATION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This agreement continues for </w:t>
      </w:r>
      <w:r>
        <w:rPr>
          <w:rFonts w:ascii="Calibri" w:cs="Calibri" w:eastAsia="Calibri" w:hAnsi="Calibri"/>
          <w:b/>
          <w:bCs/>
          <w:sz w:val="21"/>
          <w:szCs w:val="21"/>
        </w:rPr>
        <w:t xml:space="preserve">[2]</w:t>
      </w:r>
      <w:r>
        <w:rPr>
          <w:rFonts w:ascii="Calibri" w:cs="Calibri" w:eastAsia="Calibri" w:hAnsi="Calibri"/>
          <w:sz w:val="21"/>
          <w:szCs w:val="21"/>
        </w:rPr>
        <w:t xml:space="preserve"> years from the date above, or until the Parties enter into a definitive agreement superseding it.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confidentiality obligations continue for </w:t>
      </w:r>
      <w:r>
        <w:rPr>
          <w:rFonts w:ascii="Calibri" w:cs="Calibri" w:eastAsia="Calibri" w:hAnsi="Calibri"/>
          <w:b/>
          <w:bCs/>
          <w:sz w:val="21"/>
          <w:szCs w:val="21"/>
        </w:rPr>
        <w:t xml:space="preserve">[3]</w:t>
      </w:r>
      <w:r>
        <w:rPr>
          <w:rFonts w:ascii="Calibri" w:cs="Calibri" w:eastAsia="Calibri" w:hAnsi="Calibri"/>
          <w:sz w:val="21"/>
          <w:szCs w:val="21"/>
        </w:rPr>
        <w:t xml:space="preserve"> years from the date of each disclosure, </w:t>
      </w:r>
      <w:r>
        <w:rPr>
          <w:rFonts w:ascii="Calibri" w:cs="Calibri" w:eastAsia="Calibri" w:hAnsi="Calibri"/>
          <w:b/>
          <w:bCs/>
          <w:sz w:val="21"/>
          <w:szCs w:val="21"/>
        </w:rPr>
        <w:t xml:space="preserve">[and indefinitely in respect of any trade secret and any personal data]</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Clauses 2 to 6 and 8 to 10 survive termination.</w:t>
      </w:r>
    </w:p>
    <w:p>
      <w:pPr>
        <w:keepNext/>
        <w:spacing w:after="120" w:before="280"/>
        <w:outlineLvl w:val="0"/>
      </w:pPr>
      <w:r>
        <w:rPr>
          <w:rFonts w:ascii="Calibri" w:cs="Calibri" w:eastAsia="Calibri" w:hAnsi="Calibri"/>
          <w:b/>
          <w:bCs/>
          <w:color w:val="14161B"/>
          <w:sz w:val="22"/>
          <w:szCs w:val="22"/>
        </w:rPr>
        <w:t xml:space="preserve">8. PERSONAL DATA</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Where Confidential Information includes personal data, the Recipient shall comply with the Personal Data Protection Act 2012, use it only for the Purpose, apply reasonable security arrangements, </w:t>
      </w:r>
      <w:r>
        <w:rPr>
          <w:rFonts w:ascii="Calibri" w:cs="Calibri" w:eastAsia="Calibri" w:hAnsi="Calibri"/>
          <w:b/>
          <w:bCs/>
          <w:sz w:val="21"/>
          <w:szCs w:val="21"/>
        </w:rPr>
        <w:t xml:space="preserve">notify the Discloser immediately</w:t>
      </w:r>
      <w:r>
        <w:rPr>
          <w:rFonts w:ascii="Calibri" w:cs="Calibri" w:eastAsia="Calibri" w:hAnsi="Calibri"/>
          <w:sz w:val="21"/>
          <w:szCs w:val="21"/>
        </w:rPr>
        <w:t xml:space="preserve"> of any data breach affecting it, and return or delete it in accordance with Clause 6.</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Recipient shall not transfer personal data outside Singapore unless the recipient is legally bound to a standard of protection comparable to that under the Act.</w:t>
      </w:r>
    </w:p>
    <w:p>
      <w:pPr>
        <w:keepNext/>
        <w:spacing w:after="120" w:before="280"/>
        <w:outlineLvl w:val="0"/>
      </w:pPr>
      <w:r>
        <w:rPr>
          <w:rFonts w:ascii="Calibri" w:cs="Calibri" w:eastAsia="Calibri" w:hAnsi="Calibri"/>
          <w:b/>
          <w:bCs/>
          <w:color w:val="14161B"/>
          <w:sz w:val="22"/>
          <w:szCs w:val="22"/>
        </w:rPr>
        <w:t xml:space="preserve">9. REMEDIES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Recipient acknowledges that damages may not be an adequate remedy for breach and that the Discloser may seek </w:t>
      </w:r>
      <w:r>
        <w:rPr>
          <w:rFonts w:ascii="Calibri" w:cs="Calibri" w:eastAsia="Calibri" w:hAnsi="Calibri"/>
          <w:b/>
          <w:bCs/>
          <w:sz w:val="21"/>
          <w:szCs w:val="21"/>
        </w:rPr>
        <w:t xml:space="preserve">injunctive relief</w:t>
      </w:r>
      <w:r>
        <w:rPr>
          <w:rFonts w:ascii="Calibri" w:cs="Calibri" w:eastAsia="Calibri" w:hAnsi="Calibri"/>
          <w:sz w:val="21"/>
          <w:szCs w:val="21"/>
        </w:rPr>
        <w:t xml:space="preserve"> in addition to any other remedy.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No failure or delay in exercising a right operates as a waiver of it.</w:t>
      </w:r>
    </w:p>
    <w:p>
      <w:pPr>
        <w:keepNext/>
        <w:spacing w:after="120" w:before="280"/>
        <w:outlineLvl w:val="0"/>
      </w:pPr>
      <w:r>
        <w:rPr>
          <w:rFonts w:ascii="Calibri" w:cs="Calibri" w:eastAsia="Calibri" w:hAnsi="Calibri"/>
          <w:b/>
          <w:bCs/>
          <w:color w:val="14161B"/>
          <w:sz w:val="22"/>
          <w:szCs w:val="22"/>
        </w:rPr>
        <w:t xml:space="preserve">10. GENERAL</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This agreement is the entire agreement between the Parties in relation to its subject matter.</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No amendment is effective unless in writing and signed by both Parties.</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Neither Party may assign this agreement without the other’s written consent, save to a group company or in connection with a sale of its business.</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A person who is not a party has no right under the Contracts (Rights of Third Parties) Act 2001 to enforce any term, save that a group company of a Discloser may enforce in respect of its own Confidential Information.</w:t>
      </w:r>
    </w:p>
    <w:p>
      <w:pPr>
        <w:spacing w:after="120" w:before="60" w:line="276"/>
        <w:ind w:left="720" w:hanging="720"/>
        <w:jc w:val="both"/>
      </w:pPr>
      <w:r>
        <w:rPr>
          <w:rFonts w:ascii="Calibri" w:cs="Calibri" w:eastAsia="Calibri" w:hAnsi="Calibri"/>
          <w:sz w:val="21"/>
          <w:szCs w:val="21"/>
        </w:rPr>
        <w:t xml:space="preserve">10.5	</w:t>
      </w:r>
      <w:r>
        <w:rPr>
          <w:rFonts w:ascii="Calibri" w:cs="Calibri" w:eastAsia="Calibri" w:hAnsi="Calibri"/>
          <w:sz w:val="21"/>
          <w:szCs w:val="21"/>
        </w:rPr>
        <w:t xml:space="preserve">If any provision is held invalid, it shall be severed and the remainder shall continue.</w:t>
      </w:r>
    </w:p>
    <w:p>
      <w:pPr>
        <w:spacing w:after="120" w:before="60" w:line="276"/>
        <w:ind w:left="720" w:hanging="720"/>
        <w:jc w:val="both"/>
      </w:pPr>
      <w:r>
        <w:rPr>
          <w:rFonts w:ascii="Calibri" w:cs="Calibri" w:eastAsia="Calibri" w:hAnsi="Calibri"/>
          <w:sz w:val="21"/>
          <w:szCs w:val="21"/>
        </w:rPr>
        <w:t xml:space="preserve">10.6	</w:t>
      </w:r>
      <w:r>
        <w:rPr>
          <w:rFonts w:ascii="Calibri" w:cs="Calibri" w:eastAsia="Calibri" w:hAnsi="Calibri"/>
          <w:sz w:val="21"/>
          <w:szCs w:val="21"/>
        </w:rPr>
        <w:t xml:space="preserve">This agreement may be signed in counterparts and by electronic signature.</w:t>
      </w:r>
    </w:p>
    <w:p>
      <w:pPr>
        <w:spacing w:after="120" w:before="60" w:line="276"/>
        <w:ind w:left="720" w:hanging="720"/>
        <w:jc w:val="both"/>
      </w:pPr>
      <w:r>
        <w:rPr>
          <w:rFonts w:ascii="Calibri" w:cs="Calibri" w:eastAsia="Calibri" w:hAnsi="Calibri"/>
          <w:sz w:val="21"/>
          <w:szCs w:val="21"/>
        </w:rPr>
        <w:t xml:space="preserve">10.7	</w:t>
      </w:r>
      <w:r>
        <w:rPr>
          <w:rFonts w:ascii="Calibri" w:cs="Calibri" w:eastAsia="Calibri" w:hAnsi="Calibri"/>
          <w:sz w:val="21"/>
          <w:szCs w:val="21"/>
        </w:rPr>
        <w:t xml:space="preserve">This agreement is governed by the laws of Singapore and the Parties submit to the exclusive jurisdiction of the Singapore courts — </w:t>
      </w:r>
      <w:r>
        <w:rPr>
          <w:rFonts w:ascii="Calibri" w:cs="Calibri" w:eastAsia="Calibri" w:hAnsi="Calibri"/>
          <w:i/>
          <w:iCs/>
          <w:sz w:val="21"/>
          <w:szCs w:val="21"/>
        </w:rPr>
        <w:t xml:space="preserve">or, alternatively, to arbitration in Singapore under the SIAC Rules before a single arbitrator in English; specify which</w:t>
      </w:r>
      <w:r>
        <w:rPr>
          <w:rFonts w:ascii="Calibri" w:cs="Calibri" w:eastAsia="Calibri" w:hAnsi="Calibri"/>
          <w:sz w:val="21"/>
          <w:szCs w:val="21"/>
        </w:rPr>
        <w:t xml:space="preserv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[PARTY A]</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[PARTY B]</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One-Way Variant — Amendments</w:t>
      </w:r>
    </w:p>
    <w:p>
      <w:pPr>
        <w:spacing w:after="140" w:before="0" w:line="276"/>
        <w:jc w:val="both"/>
      </w:pPr>
      <w:r>
        <w:rPr>
          <w:rFonts w:ascii="Calibri" w:cs="Calibri" w:eastAsia="Calibri" w:hAnsi="Calibri"/>
          <w:i/>
          <w:iCs/>
          <w:sz w:val="21"/>
          <w:szCs w:val="21"/>
        </w:rPr>
        <w:t xml:space="preserve">Where only one Party discloses, make these changes.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8289"/>
      </w:tblGrid>
      <w:tr>
        <w:trPr>
          <w:tblHeader/>
        </w:trPr>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Clause</w:t>
            </w:r>
          </w:p>
        </w:tc>
        <w:tc>
          <w:tcPr>
            <w:tcW w:type="dxa" w:w="8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Change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Throughout</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Replace the mutual definitions with fixed roles: </w:t>
            </w:r>
            <w:r>
              <w:rPr>
                <w:rFonts w:ascii="Calibri" w:cs="Calibri" w:eastAsia="Calibri" w:hAnsi="Calibri"/>
                <w:b/>
                <w:bCs/>
                <w:sz w:val="18"/>
                <w:szCs w:val="18"/>
              </w:rPr>
              <w:t xml:space="preserve">[PARTY A]</w:t>
            </w:r>
            <w:r>
              <w:rPr>
                <w:rFonts w:ascii="Calibri" w:cs="Calibri" w:eastAsia="Calibri" w:hAnsi="Calibri"/>
                <w:sz w:val="18"/>
                <w:szCs w:val="18"/>
              </w:rPr>
              <w:t xml:space="preserve"> is the Discloser, </w:t>
            </w:r>
            <w:r>
              <w:rPr>
                <w:rFonts w:ascii="Calibri" w:cs="Calibri" w:eastAsia="Calibri" w:hAnsi="Calibri"/>
                <w:b/>
                <w:bCs/>
                <w:sz w:val="18"/>
                <w:szCs w:val="18"/>
              </w:rPr>
              <w:t xml:space="preserve">[PARTY B]</w:t>
            </w:r>
            <w:r>
              <w:rPr>
                <w:rFonts w:ascii="Calibri" w:cs="Calibri" w:eastAsia="Calibri" w:hAnsi="Calibri"/>
                <w:sz w:val="18"/>
                <w:szCs w:val="18"/>
              </w:rPr>
              <w:t xml:space="preserve"> is the Recipient</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Purpose remains the same and remains the key clause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3.1</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Obligations fall on the Recipient only</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New 3.6</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i/>
                <w:iCs/>
                <w:sz w:val="18"/>
                <w:szCs w:val="18"/>
              </w:rPr>
              <w:t xml:space="preserve">Consider adding:</w:t>
            </w:r>
            <w:r>
              <w:rPr>
                <w:rFonts w:ascii="Calibri" w:cs="Calibri" w:eastAsia="Calibri" w:hAnsi="Calibri"/>
                <w:sz w:val="18"/>
                <w:szCs w:val="18"/>
              </w:rPr>
              <w:t xml:space="preserve"> the Recipient shall not, for </w:t>
            </w:r>
            <w:r>
              <w:rPr>
                <w:rFonts w:ascii="Calibri" w:cs="Calibri" w:eastAsia="Calibri" w:hAnsi="Calibri"/>
                <w:b/>
                <w:bCs/>
                <w:sz w:val="18"/>
                <w:szCs w:val="18"/>
              </w:rPr>
              <w:t xml:space="preserve">[12]</w:t>
            </w:r>
            <w:r>
              <w:rPr>
                <w:rFonts w:ascii="Calibri" w:cs="Calibri" w:eastAsia="Calibri" w:hAnsi="Calibri"/>
                <w:sz w:val="18"/>
                <w:szCs w:val="18"/>
              </w:rPr>
              <w:t xml:space="preserve"> months, solicit or employ any employee of the Discloser introduced in connection with the Purpose — </w:t>
            </w:r>
            <w:r>
              <w:rPr>
                <w:rFonts w:ascii="Calibri" w:cs="Calibri" w:eastAsia="Calibri" w:hAnsi="Calibri"/>
                <w:b/>
                <w:bCs/>
                <w:sz w:val="18"/>
                <w:szCs w:val="18"/>
              </w:rPr>
              <w:t xml:space="preserve">provided the restriction is reasonable in scope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New 3.7</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i/>
                <w:iCs/>
                <w:sz w:val="18"/>
                <w:szCs w:val="18"/>
              </w:rPr>
              <w:t xml:space="preserve">Consider adding:</w:t>
            </w:r>
            <w:r>
              <w:rPr>
                <w:rFonts w:ascii="Calibri" w:cs="Calibri" w:eastAsia="Calibri" w:hAnsi="Calibri"/>
                <w:sz w:val="18"/>
                <w:szCs w:val="18"/>
              </w:rPr>
              <w:t xml:space="preserve"> the Recipient shall not approach any customer, supplier or investor of the Discloser identified through the Confidential Information, in connection with the subject matter of the Purpose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5.2</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Keep the no-warranty provision — it protects the Discloser</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9.1</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Injunctive relief for the Discloser only</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Review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891"/>
        <w:gridCol w:w="4819"/>
        <w:gridCol w:w="1543"/>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the Purpose specific?</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broad purpose permits almost any use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duration realistic and finite?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Perpetual obligations are rarely enforced and signal poor drafting</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 standard carve-outs present?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Public, already known, third party, independently developed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residuals position acceptable?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residuals clause lets the recipient use what people remember — see the notes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may the recipient share with?</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Advisers and group companies are usual; contractors and affiliates need thought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backup carve-out on deletion?</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Without it the clause is breached immediately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non-solicit or non-circumvent provisions included, and reasonable?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Over-broad restraints fail entirely in Singapore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it grant any licence or IP right by implication?</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It should not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no-warranty clause present?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Protects the discloser on accuracy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personal data addressed?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PDPA obligations follow the data</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governing law and forum sensible for both parties?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Foreign forum makes injunctive relief slow and expensive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it mutual when it should be?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one-way NDA where both sides will disclose is unbalanced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Purpose clause is the whole agreement</w:t>
      </w:r>
    </w:p>
    <w:p>
      <w:pPr>
        <w:spacing w:after="60" w:line="264"/>
        <w:jc w:val="both"/>
      </w:pPr>
      <w:r>
        <w:rPr>
          <w:rFonts w:ascii="Calibri" w:cs="Calibri" w:eastAsia="Calibri" w:hAnsi="Calibri"/>
          <w:sz w:val="19"/>
          <w:szCs w:val="19"/>
        </w:rPr>
        <w:t xml:space="preserve">Everything the recipient may do with the information is measured against the Purpose. Drafted as "evaluating a potential business relationship", it permits the recipient to use the information for almost anything and still comply. Name the specific transaction, project or evaluation. This single clause matters more than every other provision combined.</w:t>
      </w:r>
    </w:p>
    <w:p>
      <w:pPr>
        <w:keepNext/>
        <w:spacing w:after="40" w:before="140"/>
      </w:pPr>
      <w:r>
        <w:rPr>
          <w:rFonts w:ascii="Calibri" w:cs="Calibri" w:eastAsia="Calibri" w:hAnsi="Calibri"/>
          <w:b/>
          <w:bCs/>
          <w:color w:val="14161B"/>
          <w:sz w:val="20"/>
          <w:szCs w:val="20"/>
        </w:rPr>
        <w:t xml:space="preserve">Finite duration, with a trade secret carve-out</w:t>
      </w:r>
    </w:p>
    <w:p>
      <w:pPr>
        <w:spacing w:after="60" w:line="264"/>
        <w:jc w:val="both"/>
      </w:pPr>
      <w:r>
        <w:rPr>
          <w:rFonts w:ascii="Calibri" w:cs="Calibri" w:eastAsia="Calibri" w:hAnsi="Calibri"/>
          <w:sz w:val="19"/>
          <w:szCs w:val="19"/>
        </w:rPr>
        <w:t xml:space="preserve">A perpetual confidentiality obligation on ordinary commercial information is rarely enforced and marks the drafter as inexperienced. Three to five years from disclosure is standard, with an indefinite tail for genuine trade secrets and personal data. Clause 7.2 does both.</w:t>
      </w:r>
    </w:p>
    <w:p>
      <w:pPr>
        <w:keepNext/>
        <w:spacing w:after="40" w:before="140"/>
      </w:pPr>
      <w:r>
        <w:rPr>
          <w:rFonts w:ascii="Calibri" w:cs="Calibri" w:eastAsia="Calibri" w:hAnsi="Calibri"/>
          <w:b/>
          <w:bCs/>
          <w:color w:val="14161B"/>
          <w:sz w:val="20"/>
          <w:szCs w:val="20"/>
        </w:rPr>
        <w:t xml:space="preserve">Allow for backups</w:t>
      </w:r>
    </w:p>
    <w:p>
      <w:pPr>
        <w:spacing w:after="60" w:line="264"/>
        <w:jc w:val="both"/>
      </w:pPr>
      <w:r>
        <w:rPr>
          <w:rFonts w:ascii="Calibri" w:cs="Calibri" w:eastAsia="Calibri" w:hAnsi="Calibri"/>
          <w:sz w:val="19"/>
          <w:szCs w:val="19"/>
        </w:rPr>
        <w:t xml:space="preserve">Return-and-destroy clauses with no carve-out are breached the moment they are signed, because backup systems cannot be selectively purged. Clause 6.2 permits retention under continuing obligations, which is honest and enforceable. An NDA that requires the impossible protects nobody.</w:t>
      </w:r>
    </w:p>
    <w:p>
      <w:pPr>
        <w:keepNext/>
        <w:spacing w:after="40" w:before="140"/>
      </w:pPr>
      <w:r>
        <w:rPr>
          <w:rFonts w:ascii="Calibri" w:cs="Calibri" w:eastAsia="Calibri" w:hAnsi="Calibri"/>
          <w:b/>
          <w:bCs/>
          <w:color w:val="14161B"/>
          <w:sz w:val="20"/>
          <w:szCs w:val="20"/>
        </w:rPr>
        <w:t xml:space="preserve">Watch for a residuals clause</w:t>
      </w:r>
    </w:p>
    <w:p>
      <w:pPr>
        <w:spacing w:after="60" w:line="264"/>
        <w:jc w:val="both"/>
      </w:pPr>
      <w:r>
        <w:rPr>
          <w:rFonts w:ascii="Calibri" w:cs="Calibri" w:eastAsia="Calibri" w:hAnsi="Calibri"/>
          <w:sz w:val="19"/>
          <w:szCs w:val="19"/>
        </w:rPr>
        <w:t xml:space="preserve">Some NDAs permit the recipient to use information retained in the unaided memory of its personnel. That is a substantial carve-out that can swallow the agreement, particularly where the disclosure is conceptual rather than documentary. It is not in this template; check whether it appears in one you are asked to sign.</w:t>
      </w:r>
    </w:p>
    <w:p>
      <w:pPr>
        <w:keepNext/>
        <w:spacing w:after="40" w:before="140"/>
      </w:pPr>
      <w:r>
        <w:rPr>
          <w:rFonts w:ascii="Calibri" w:cs="Calibri" w:eastAsia="Calibri" w:hAnsi="Calibri"/>
          <w:b/>
          <w:bCs/>
          <w:color w:val="14161B"/>
          <w:sz w:val="20"/>
          <w:szCs w:val="20"/>
        </w:rPr>
        <w:t xml:space="preserve">Combinations matter</w:t>
      </w:r>
    </w:p>
    <w:p>
      <w:pPr>
        <w:spacing w:after="60" w:line="264"/>
        <w:jc w:val="both"/>
      </w:pPr>
      <w:r>
        <w:rPr>
          <w:rFonts w:ascii="Calibri" w:cs="Calibri" w:eastAsia="Calibri" w:hAnsi="Calibri"/>
          <w:sz w:val="19"/>
          <w:szCs w:val="19"/>
        </w:rPr>
        <w:t xml:space="preserve">Clause 2.3 prevents the argument that a valuable combination — a customer list, a pricing model, an architecture — falls outside protection because each component is individually public. This exclusion is frequently omitted and frequently exploited.</w:t>
      </w:r>
    </w:p>
    <w:p>
      <w:pPr>
        <w:keepNext/>
        <w:spacing w:after="40" w:before="140"/>
      </w:pPr>
      <w:r>
        <w:rPr>
          <w:rFonts w:ascii="Calibri" w:cs="Calibri" w:eastAsia="Calibri" w:hAnsi="Calibri"/>
          <w:b/>
          <w:bCs/>
          <w:color w:val="14161B"/>
          <w:sz w:val="20"/>
          <w:szCs w:val="20"/>
        </w:rPr>
        <w:t xml:space="preserve">Decide who the recipient may share with</w:t>
      </w:r>
    </w:p>
    <w:p>
      <w:pPr>
        <w:spacing w:after="60" w:line="264"/>
        <w:jc w:val="both"/>
      </w:pPr>
      <w:r>
        <w:rPr>
          <w:rFonts w:ascii="Calibri" w:cs="Calibri" w:eastAsia="Calibri" w:hAnsi="Calibri"/>
          <w:sz w:val="19"/>
          <w:szCs w:val="19"/>
        </w:rPr>
        <w:t xml:space="preserve">Advisers and directors are standard. Affiliates, contractors, prospective investors and outsourced developers are not, and should be addressed expressly. The recipient should remain responsible for anyone it discloses to, as Clause 3.1(d) provides.</w:t>
      </w:r>
    </w:p>
    <w:p>
      <w:pPr>
        <w:keepNext/>
        <w:spacing w:after="40" w:before="140"/>
      </w:pPr>
      <w:r>
        <w:rPr>
          <w:rFonts w:ascii="Calibri" w:cs="Calibri" w:eastAsia="Calibri" w:hAnsi="Calibri"/>
          <w:b/>
          <w:bCs/>
          <w:color w:val="14161B"/>
          <w:sz w:val="20"/>
          <w:szCs w:val="20"/>
        </w:rPr>
        <w:t xml:space="preserve">Non-solicit and non-circumvent need care</w:t>
      </w:r>
    </w:p>
    <w:p>
      <w:pPr>
        <w:spacing w:after="60" w:line="264"/>
        <w:jc w:val="both"/>
      </w:pPr>
      <w:r>
        <w:rPr>
          <w:rFonts w:ascii="Calibri" w:cs="Calibri" w:eastAsia="Calibri" w:hAnsi="Calibri"/>
          <w:sz w:val="19"/>
          <w:szCs w:val="19"/>
        </w:rPr>
        <w:t xml:space="preserve">A restriction on hiring the discloser’s staff or approaching its customers is common in one-way NDAs and is enforceable only so far as reasonable. Because an over-broad restraint fails entirely in Singapore rather than being read down, keep the period short and the category narrow.</w:t>
      </w:r>
    </w:p>
    <w:p>
      <w:pPr>
        <w:keepNext/>
        <w:spacing w:after="40" w:before="140"/>
      </w:pPr>
      <w:r>
        <w:rPr>
          <w:rFonts w:ascii="Calibri" w:cs="Calibri" w:eastAsia="Calibri" w:hAnsi="Calibri"/>
          <w:b/>
          <w:bCs/>
          <w:color w:val="14161B"/>
          <w:sz w:val="20"/>
          <w:szCs w:val="20"/>
        </w:rPr>
        <w:t xml:space="preserve">Confidentiality of the discussions themselves</w:t>
      </w:r>
    </w:p>
    <w:p>
      <w:pPr>
        <w:spacing w:after="60" w:line="264"/>
        <w:jc w:val="both"/>
      </w:pPr>
      <w:r>
        <w:rPr>
          <w:rFonts w:ascii="Calibri" w:cs="Calibri" w:eastAsia="Calibri" w:hAnsi="Calibri"/>
          <w:sz w:val="19"/>
          <w:szCs w:val="19"/>
        </w:rPr>
        <w:t xml:space="preserve">The definition includes the existence and content of discussions. For a company in a financing or an acquisition, that is often the most sensitive item, and it is the one most likely to leak informally.</w:t>
      </w:r>
    </w:p>
    <w:p>
      <w:pPr>
        <w:keepNext/>
        <w:spacing w:after="40" w:before="140"/>
      </w:pPr>
      <w:r>
        <w:rPr>
          <w:rFonts w:ascii="Calibri" w:cs="Calibri" w:eastAsia="Calibri" w:hAnsi="Calibri"/>
          <w:b/>
          <w:bCs/>
          <w:color w:val="14161B"/>
          <w:sz w:val="20"/>
          <w:szCs w:val="20"/>
        </w:rPr>
        <w:t xml:space="preserve">No warranty on accuracy</w:t>
      </w:r>
    </w:p>
    <w:p>
      <w:pPr>
        <w:spacing w:after="60" w:line="264"/>
        <w:jc w:val="both"/>
      </w:pPr>
      <w:r>
        <w:rPr>
          <w:rFonts w:ascii="Calibri" w:cs="Calibri" w:eastAsia="Calibri" w:hAnsi="Calibri"/>
          <w:sz w:val="19"/>
          <w:szCs w:val="19"/>
        </w:rPr>
        <w:t xml:space="preserve">Clause 5.2 protects the discloser against a claim based on preliminary information later shown to be wrong. Representations belong in the definitive agreement, after diligence, not in an NDA at the start of discussions.</w:t>
      </w:r>
    </w:p>
    <w:p>
      <w:pPr>
        <w:keepNext/>
        <w:spacing w:after="40" w:before="140"/>
      </w:pPr>
      <w:r>
        <w:rPr>
          <w:rFonts w:ascii="Calibri" w:cs="Calibri" w:eastAsia="Calibri" w:hAnsi="Calibri"/>
          <w:b/>
          <w:bCs/>
          <w:color w:val="14161B"/>
          <w:sz w:val="20"/>
          <w:szCs w:val="20"/>
        </w:rPr>
        <w:t xml:space="preserve">Injunctive relief is the real remedy</w:t>
      </w:r>
    </w:p>
    <w:p>
      <w:pPr>
        <w:spacing w:after="60" w:line="264"/>
        <w:jc w:val="both"/>
      </w:pPr>
      <w:r>
        <w:rPr>
          <w:rFonts w:ascii="Calibri" w:cs="Calibri" w:eastAsia="Calibri" w:hAnsi="Calibri"/>
          <w:sz w:val="19"/>
          <w:szCs w:val="19"/>
        </w:rPr>
        <w:t xml:space="preserve">Damages for breach of confidence are hard to quantify and harder to recover. The practical remedy is an injunction to stop the use, which is why Clause 9.1 matters and why the forum choice in Clause 10.7 matters alongside it.</w:t>
      </w:r>
    </w:p>
    <w:p>
      <w:pPr>
        <w:keepNext/>
        <w:spacing w:after="40" w:before="140"/>
      </w:pPr>
      <w:r>
        <w:rPr>
          <w:rFonts w:ascii="Calibri" w:cs="Calibri" w:eastAsia="Calibri" w:hAnsi="Calibri"/>
          <w:b/>
          <w:bCs/>
          <w:color w:val="14161B"/>
          <w:sz w:val="20"/>
          <w:szCs w:val="20"/>
        </w:rPr>
        <w:t xml:space="preserve">Think about the forum</w:t>
      </w:r>
    </w:p>
    <w:p>
      <w:pPr>
        <w:spacing w:after="60" w:line="264"/>
        <w:jc w:val="both"/>
      </w:pPr>
      <w:r>
        <w:rPr>
          <w:rFonts w:ascii="Calibri" w:cs="Calibri" w:eastAsia="Calibri" w:hAnsi="Calibri"/>
          <w:sz w:val="19"/>
          <w:szCs w:val="19"/>
        </w:rPr>
        <w:t xml:space="preserve">A Singapore-law NDA with a foreign forum makes urgent injunctive relief slow and expensive. Where the counterparty insists on their own jurisdiction, consider whether arbitration in a neutral seat with emergency arbitrator provisions is a better compromise than either side’s home courts.</w:t>
      </w:r>
    </w:p>
    <w:p>
      <w:pPr>
        <w:keepNext/>
        <w:spacing w:after="40" w:before="140"/>
      </w:pPr>
      <w:r>
        <w:rPr>
          <w:rFonts w:ascii="Calibri" w:cs="Calibri" w:eastAsia="Calibri" w:hAnsi="Calibri"/>
          <w:b/>
          <w:bCs/>
          <w:color w:val="14161B"/>
          <w:sz w:val="20"/>
          <w:szCs w:val="20"/>
        </w:rPr>
        <w:t xml:space="preserve">Personal data follows its own rules</w:t>
      </w:r>
    </w:p>
    <w:p>
      <w:pPr>
        <w:spacing w:after="60" w:line="264"/>
        <w:jc w:val="both"/>
      </w:pPr>
      <w:r>
        <w:rPr>
          <w:rFonts w:ascii="Calibri" w:cs="Calibri" w:eastAsia="Calibri" w:hAnsi="Calibri"/>
          <w:sz w:val="19"/>
          <w:szCs w:val="19"/>
        </w:rPr>
        <w:t xml:space="preserve">Where the information includes personal data, PDPA obligations apply regardless of what the NDA says. Clause 8 makes the recipient’s obligations explicit, including immediate breach notification — without which the discloser cannot meet its own notification timeline.</w:t>
      </w:r>
    </w:p>
    <w:p>
      <w:pPr>
        <w:keepNext/>
        <w:spacing w:after="40" w:before="140"/>
      </w:pPr>
      <w:r>
        <w:rPr>
          <w:rFonts w:ascii="Calibri" w:cs="Calibri" w:eastAsia="Calibri" w:hAnsi="Calibri"/>
          <w:b/>
          <w:bCs/>
          <w:color w:val="14161B"/>
          <w:sz w:val="20"/>
          <w:szCs w:val="20"/>
        </w:rPr>
        <w:t xml:space="preserve">Mutual or one-way — be honest about it</w:t>
      </w:r>
    </w:p>
    <w:p>
      <w:pPr>
        <w:spacing w:after="60" w:line="264"/>
        <w:jc w:val="both"/>
      </w:pPr>
      <w:r>
        <w:rPr>
          <w:rFonts w:ascii="Calibri" w:cs="Calibri" w:eastAsia="Calibri" w:hAnsi="Calibri"/>
          <w:sz w:val="19"/>
          <w:szCs w:val="19"/>
        </w:rPr>
        <w:t xml:space="preserve">Presenting a one-way NDA where both parties will plainly disclose is a small piece of bad faith that sets a poor tone and usually gets amended anyway. Use the mutual form where both sides will share, and Annexure A where genuinely only one does.</w:t>
      </w:r>
    </w:p>
    <w:p>
      <w:pPr>
        <w:keepNext/>
        <w:spacing w:after="40" w:before="140"/>
      </w:pPr>
      <w:r>
        <w:rPr>
          <w:rFonts w:ascii="Calibri" w:cs="Calibri" w:eastAsia="Calibri" w:hAnsi="Calibri"/>
          <w:b/>
          <w:bCs/>
          <w:color w:val="14161B"/>
          <w:sz w:val="20"/>
          <w:szCs w:val="20"/>
        </w:rPr>
        <w:t xml:space="preserve">An NDA does not replace access control</w:t>
      </w:r>
    </w:p>
    <w:p>
      <w:pPr>
        <w:spacing w:after="60" w:line="264"/>
        <w:jc w:val="both"/>
      </w:pPr>
      <w:r>
        <w:rPr>
          <w:rFonts w:ascii="Calibri" w:cs="Calibri" w:eastAsia="Calibri" w:hAnsi="Calibri"/>
          <w:sz w:val="19"/>
          <w:szCs w:val="19"/>
        </w:rPr>
        <w:t xml:space="preserve">The most effective protection is disclosing less: staging the information, redacting what is not yet needed, and using a controlled data room with access logs. An NDA gives a remedy after the harm; access control prevents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enforceability of restraints, the Personal Data Protection Act, and the Contracts (Rights of Third Parties) Act 2001 all develop — have an NDA reviewed by a lawyer where the disclosure is commercially significant, and never sign one presented as standard without reading the Purpose and duration clauses.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2026-08-22T06:55:30.939Z</dcterms:created>
  <dcterms:modified xsi:type="dcterms:W3CDTF">2026-08-22T06:55:30.939Z</dcterms:modified>
</cp:coreProperties>
</file>

<file path=docProps/custom.xml><?xml version="1.0" encoding="utf-8"?>
<Properties xmlns="http://schemas.openxmlformats.org/officeDocument/2006/custom-properties" xmlns:vt="http://schemas.openxmlformats.org/officeDocument/2006/docPropsVTypes"/>
</file>