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MASTER SERVICES AGREEMENT</w:t>
      </w:r>
    </w:p>
    <w:p>
      <w:pPr>
        <w:spacing w:after="260"/>
        <w:jc w:val="center"/>
      </w:pPr>
      <w:r>
        <w:rPr>
          <w:rFonts w:ascii="Calibri" w:cs="Calibri" w:eastAsia="Calibri" w:hAnsi="Calibri"/>
          <w:i/>
          <w:iCs/>
          <w:color w:val="6E7480"/>
          <w:sz w:val="19"/>
          <w:szCs w:val="19"/>
        </w:rPr>
        <w:t xml:space="preserve">With Statement of Work</w:t>
      </w:r>
    </w:p>
    <w:p>
      <w:pPr>
        <w:spacing w:after="180" w:before="0" w:line="276"/>
        <w:jc w:val="both"/>
      </w:pPr>
      <w:r>
        <w:rPr>
          <w:rFonts w:ascii="Calibri" w:cs="Calibri" w:eastAsia="Calibri" w:hAnsi="Calibri"/>
          <w:i/>
          <w:iCs/>
          <w:color w:val="6E7480"/>
          <w:sz w:val="21"/>
          <w:szCs w:val="21"/>
        </w:rPr>
        <w:t xml:space="preserve">The structure exists so the commercial terms are negotiated once and each engagement starts from a short document. It works only if the Statement of Work is confined to scope, deliverables, timing and price — the moment SOWs start amending liability caps and IP ownership, the master agreement stops meaning anything.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Supplier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UEN </w:t>
            </w:r>
            <w:r>
              <w:rPr>
                <w:rFonts w:ascii="Calibri" w:cs="Calibri" w:eastAsia="Calibri" w:hAnsi="Calibri"/>
                <w:b/>
                <w:bCs/>
                <w:sz w:val="19"/>
                <w:szCs w:val="19"/>
              </w:rPr>
              <w:t xml:space="preserve">[UEN]</w:t>
            </w:r>
            <w:r>
              <w:rPr>
                <w:rFonts w:ascii="Calibri" w:cs="Calibri" w:eastAsia="Calibri" w:hAnsi="Calibri"/>
                <w:sz w:val="19"/>
                <w:szCs w:val="19"/>
              </w:rPr>
              <w:t xml:space="preserve">, of </w:t>
            </w:r>
            <w:r>
              <w:rPr>
                <w:rFonts w:ascii="Calibri" w:cs="Calibri" w:eastAsia="Calibri" w:hAnsi="Calibri"/>
                <w:b/>
                <w:bCs/>
                <w:sz w:val="19"/>
                <w:szCs w:val="19"/>
              </w:rPr>
              <w:t xml:space="preserve">[ADDRESS]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Client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UEN </w:t>
            </w:r>
            <w:r>
              <w:rPr>
                <w:rFonts w:ascii="Calibri" w:cs="Calibri" w:eastAsia="Calibri" w:hAnsi="Calibri"/>
                <w:b/>
                <w:bCs/>
                <w:sz w:val="19"/>
                <w:szCs w:val="19"/>
              </w:rPr>
              <w:t xml:space="preserve">[UEN]</w:t>
            </w:r>
            <w:r>
              <w:rPr>
                <w:rFonts w:ascii="Calibri" w:cs="Calibri" w:eastAsia="Calibri" w:hAnsi="Calibri"/>
                <w:sz w:val="19"/>
                <w:szCs w:val="19"/>
              </w:rPr>
              <w:t xml:space="preserve">, of </w:t>
            </w:r>
            <w:r>
              <w:rPr>
                <w:rFonts w:ascii="Calibri" w:cs="Calibri" w:eastAsia="Calibri" w:hAnsi="Calibri"/>
                <w:b/>
                <w:bCs/>
                <w:sz w:val="19"/>
                <w:szCs w:val="19"/>
              </w:rPr>
              <w:t xml:space="preserve">[ADDRESS]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w:t>
            </w:r>
            <w:r>
              <w:rPr>
                <w:rFonts w:ascii="Calibri" w:cs="Calibri" w:eastAsia="Calibri" w:hAnsi="Calibri"/>
                <w:sz w:val="19"/>
                <w:szCs w:val="19"/>
              </w:rPr>
              <w:t xml:space="preserve"> years, renewing for successive </w:t>
            </w:r>
            <w:r>
              <w:rPr>
                <w:rFonts w:ascii="Calibri" w:cs="Calibri" w:eastAsia="Calibri" w:hAnsi="Calibri"/>
                <w:b/>
                <w:bCs/>
                <w:sz w:val="19"/>
                <w:szCs w:val="19"/>
              </w:rPr>
              <w:t xml:space="preserve">[12]</w:t>
            </w:r>
            <w:r>
              <w:rPr>
                <w:rFonts w:ascii="Calibri" w:cs="Calibri" w:eastAsia="Calibri" w:hAnsi="Calibri"/>
                <w:sz w:val="19"/>
                <w:szCs w:val="19"/>
              </w:rPr>
              <w:t xml:space="preserve">-month periods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Services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THE CATEGORY — detail goes in each SOW]</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IP in deliverables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[Assigned to the Client / Licensed to the Client / Retained by the Supplier]</w:t>
            </w:r>
            <w:r>
              <w:rPr>
                <w:rFonts w:ascii="Calibri" w:cs="Calibri" w:eastAsia="Calibri" w:hAnsi="Calibri"/>
                <w:sz w:val="19"/>
                <w:szCs w:val="19"/>
              </w:rPr>
              <w:t xml:space="preserve"> — a commercial decision; specify</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Liability cap</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[Fees paid in the preceding 12 months / S$ ______]</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Payment terms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[30]</w:t>
            </w:r>
            <w:r>
              <w:rPr>
                <w:rFonts w:ascii="Calibri" w:cs="Calibri" w:eastAsia="Calibri" w:hAnsi="Calibri"/>
                <w:sz w:val="19"/>
                <w:szCs w:val="19"/>
              </w:rPr>
              <w:t xml:space="preserve"> days from a valid invoice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GST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Charged in addition at the prevailing rate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Singapore</w:t>
            </w:r>
          </w:p>
        </w:tc>
      </w:tr>
    </w:tbl>
    <w:p>
      <w:pPr>
        <w:spacing w:after="180"/>
      </w:pPr>
    </w:p>
    <w:p>
      <w:pPr>
        <w:keepNext/>
        <w:spacing w:after="120" w:before="280"/>
        <w:outlineLvl w:val="0"/>
      </w:pPr>
      <w:r>
        <w:rPr>
          <w:rFonts w:ascii="Calibri" w:cs="Calibri" w:eastAsia="Calibri" w:hAnsi="Calibri"/>
          <w:b/>
          <w:bCs/>
          <w:color w:val="14161B"/>
          <w:sz w:val="22"/>
          <w:szCs w:val="22"/>
        </w:rPr>
        <w:t xml:space="preserve">1. STRUCTURE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This agreement sets out the terms on which the Supplier provides services to the Client. It does not itself commit either party to any particular services.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Each engagement is documented in a </w:t>
      </w:r>
      <w:r>
        <w:rPr>
          <w:rFonts w:ascii="Calibri" w:cs="Calibri" w:eastAsia="Calibri" w:hAnsi="Calibri"/>
          <w:b/>
          <w:bCs/>
          <w:sz w:val="21"/>
          <w:szCs w:val="21"/>
        </w:rPr>
        <w:t xml:space="preserve">Statement of Work</w:t>
      </w:r>
      <w:r>
        <w:rPr>
          <w:rFonts w:ascii="Calibri" w:cs="Calibri" w:eastAsia="Calibri" w:hAnsi="Calibri"/>
          <w:sz w:val="21"/>
          <w:szCs w:val="21"/>
        </w:rPr>
        <w:t xml:space="preserve"> ("</w:t>
      </w:r>
      <w:r>
        <w:rPr>
          <w:rFonts w:ascii="Calibri" w:cs="Calibri" w:eastAsia="Calibri" w:hAnsi="Calibri"/>
          <w:b/>
          <w:bCs/>
          <w:sz w:val="21"/>
          <w:szCs w:val="21"/>
        </w:rPr>
        <w:t xml:space="preserve">SOW</w:t>
      </w:r>
      <w:r>
        <w:rPr>
          <w:rFonts w:ascii="Calibri" w:cs="Calibri" w:eastAsia="Calibri" w:hAnsi="Calibri"/>
          <w:sz w:val="21"/>
          <w:szCs w:val="21"/>
        </w:rPr>
        <w:t xml:space="preserve">") signed by both parties, incorporating these terms.</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Where an SOW conflicts with this agreement, </w:t>
      </w:r>
      <w:r>
        <w:rPr>
          <w:rFonts w:ascii="Calibri" w:cs="Calibri" w:eastAsia="Calibri" w:hAnsi="Calibri"/>
          <w:b/>
          <w:bCs/>
          <w:sz w:val="21"/>
          <w:szCs w:val="21"/>
        </w:rPr>
        <w:t xml:space="preserve">this agreement prevails</w:t>
      </w:r>
      <w:r>
        <w:rPr>
          <w:rFonts w:ascii="Calibri" w:cs="Calibri" w:eastAsia="Calibri" w:hAnsi="Calibri"/>
          <w:sz w:val="21"/>
          <w:szCs w:val="21"/>
        </w:rPr>
        <w:t xml:space="preserve">, except where the SOW expressly identifies the clause it varies and states that it is varying it, and is signed by an authorised signatory of each party.</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Client purchase order terms, supplier standard terms, and terms appearing on any portal or invoice </w:t>
      </w:r>
      <w:r>
        <w:rPr>
          <w:rFonts w:ascii="Calibri" w:cs="Calibri" w:eastAsia="Calibri" w:hAnsi="Calibri"/>
          <w:b/>
          <w:bCs/>
          <w:sz w:val="21"/>
          <w:szCs w:val="21"/>
        </w:rPr>
        <w:t xml:space="preserve">do not apply</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2. SERVICES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Supplier shall provide the services described in each SOW with reasonable skill and care, using appropriately qualified personnel, in accordance with applicable law and the timetable in the SOW.</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Time is </w:t>
      </w:r>
      <w:r>
        <w:rPr>
          <w:rFonts w:ascii="Calibri" w:cs="Calibri" w:eastAsia="Calibri" w:hAnsi="Calibri"/>
          <w:b/>
          <w:bCs/>
          <w:sz w:val="21"/>
          <w:szCs w:val="21"/>
        </w:rPr>
        <w:t xml:space="preserve">[of the essence / not of the essence]</w:t>
      </w:r>
      <w:r>
        <w:rPr>
          <w:rFonts w:ascii="Calibri" w:cs="Calibri" w:eastAsia="Calibri" w:hAnsi="Calibri"/>
          <w:sz w:val="21"/>
          <w:szCs w:val="21"/>
        </w:rPr>
        <w:t xml:space="preserve"> in respect of the dates in an SOW. </w:t>
      </w:r>
      <w:r>
        <w:rPr>
          <w:rFonts w:ascii="Calibri" w:cs="Calibri" w:eastAsia="Calibri" w:hAnsi="Calibri"/>
          <w:i/>
          <w:iCs/>
          <w:sz w:val="21"/>
          <w:szCs w:val="21"/>
        </w:rPr>
        <w:t xml:space="preserve">(A commercial decision — specify. Making every date of the essence is unusual and gives the Client a termination right for minor slippage.)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Supplier shall notify the Client promptly of anything likely to delay or prevent performance.</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Supplier may subcontract only with the Client’s prior written consent, and remains fully responsible for any subcontractor.</w:t>
      </w:r>
    </w:p>
    <w:p>
      <w:pPr>
        <w:keepNext/>
        <w:spacing w:after="120" w:before="280"/>
        <w:outlineLvl w:val="0"/>
      </w:pPr>
      <w:r>
        <w:rPr>
          <w:rFonts w:ascii="Calibri" w:cs="Calibri" w:eastAsia="Calibri" w:hAnsi="Calibri"/>
          <w:b/>
          <w:bCs/>
          <w:color w:val="14161B"/>
          <w:sz w:val="22"/>
          <w:szCs w:val="22"/>
        </w:rPr>
        <w:t xml:space="preserve">3. CLIENT OBLIGATIONS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Client shall provide, in good time, the information, access, personnel, decisions and approvals the Supplier reasonably requires.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Where the Client fails to do so and this delays the Supplier, the timetable shall be extended by a reasonable period and the Supplier may charge for time lost, having given notice.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Client shall ensure any material it provides does not infringe third party rights.</w:t>
      </w:r>
    </w:p>
    <w:p>
      <w:pPr>
        <w:keepNext/>
        <w:spacing w:after="120" w:before="280"/>
        <w:outlineLvl w:val="0"/>
      </w:pPr>
      <w:r>
        <w:rPr>
          <w:rFonts w:ascii="Calibri" w:cs="Calibri" w:eastAsia="Calibri" w:hAnsi="Calibri"/>
          <w:b/>
          <w:bCs/>
          <w:color w:val="14161B"/>
          <w:sz w:val="22"/>
          <w:szCs w:val="22"/>
        </w:rPr>
        <w:t xml:space="preserve">4. CHANGE CONTROL</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Either party may request a change to an SOW. The Supplier shall respond with the effect on scope, timetable and price.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b/>
          <w:bCs/>
          <w:sz w:val="21"/>
          <w:szCs w:val="21"/>
        </w:rPr>
        <w:t xml:space="preserve">No change takes effect until agreed in writing</w:t>
      </w:r>
      <w:r>
        <w:rPr>
          <w:rFonts w:ascii="Calibri" w:cs="Calibri" w:eastAsia="Calibri" w:hAnsi="Calibri"/>
          <w:sz w:val="21"/>
          <w:szCs w:val="21"/>
        </w:rPr>
        <w:t xml:space="preserve"> by both parties. The Supplier shall not be obliged to perform additional work, and the Client shall not be obliged to pay for it, absent agreement.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i/>
          <w:iCs/>
          <w:sz w:val="21"/>
          <w:szCs w:val="21"/>
        </w:rPr>
        <w:t xml:space="preserve">Scope creep is the single most common cause of dispute in services agreements. A change process that is used costs one email; one that is ignored costs the margin.</w:t>
      </w:r>
    </w:p>
    <w:p>
      <w:pPr>
        <w:keepNext/>
        <w:spacing w:after="120" w:before="280"/>
        <w:outlineLvl w:val="0"/>
      </w:pPr>
      <w:r>
        <w:rPr>
          <w:rFonts w:ascii="Calibri" w:cs="Calibri" w:eastAsia="Calibri" w:hAnsi="Calibri"/>
          <w:b/>
          <w:bCs/>
          <w:color w:val="14161B"/>
          <w:sz w:val="22"/>
          <w:szCs w:val="22"/>
        </w:rPr>
        <w:t xml:space="preserve">5. FEES AND PAYMENT</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Fees are as stated in each SOW, on a </w:t>
      </w:r>
      <w:r>
        <w:rPr>
          <w:rFonts w:ascii="Calibri" w:cs="Calibri" w:eastAsia="Calibri" w:hAnsi="Calibri"/>
          <w:b/>
          <w:bCs/>
          <w:sz w:val="21"/>
          <w:szCs w:val="21"/>
        </w:rPr>
        <w:t xml:space="preserve">[time and materials / fixed price / retainer]</w:t>
      </w:r>
      <w:r>
        <w:rPr>
          <w:rFonts w:ascii="Calibri" w:cs="Calibri" w:eastAsia="Calibri" w:hAnsi="Calibri"/>
          <w:sz w:val="21"/>
          <w:szCs w:val="21"/>
        </w:rPr>
        <w:t xml:space="preserve"> basis.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Supplier shall invoice </w:t>
      </w:r>
      <w:r>
        <w:rPr>
          <w:rFonts w:ascii="Calibri" w:cs="Calibri" w:eastAsia="Calibri" w:hAnsi="Calibri"/>
          <w:b/>
          <w:bCs/>
          <w:sz w:val="21"/>
          <w:szCs w:val="21"/>
        </w:rPr>
        <w:t xml:space="preserve">[monthly in arrears / on the milestones in the SOW]</w:t>
      </w:r>
      <w:r>
        <w:rPr>
          <w:rFonts w:ascii="Calibri" w:cs="Calibri" w:eastAsia="Calibri" w:hAnsi="Calibri"/>
          <w:sz w:val="21"/>
          <w:szCs w:val="21"/>
        </w:rPr>
        <w:t xml:space="preserve">. Invoices are payable within </w:t>
      </w:r>
      <w:r>
        <w:rPr>
          <w:rFonts w:ascii="Calibri" w:cs="Calibri" w:eastAsia="Calibri" w:hAnsi="Calibri"/>
          <w:b/>
          <w:bCs/>
          <w:sz w:val="21"/>
          <w:szCs w:val="21"/>
        </w:rPr>
        <w:t xml:space="preserve">[30]</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GST</w:t>
      </w:r>
      <w:r>
        <w:rPr>
          <w:rFonts w:ascii="Calibri" w:cs="Calibri" w:eastAsia="Calibri" w:hAnsi="Calibri"/>
          <w:sz w:val="21"/>
          <w:szCs w:val="21"/>
        </w:rPr>
        <w:t xml:space="preserve"> is charged in addition at the prevailing rate, currently </w:t>
      </w:r>
      <w:r>
        <w:rPr>
          <w:rFonts w:ascii="Calibri" w:cs="Calibri" w:eastAsia="Calibri" w:hAnsi="Calibri"/>
          <w:b/>
          <w:bCs/>
          <w:sz w:val="21"/>
          <w:szCs w:val="21"/>
        </w:rPr>
        <w:t xml:space="preserve">9 per cent</w:t>
      </w:r>
      <w:r>
        <w:rPr>
          <w:rFonts w:ascii="Calibri" w:cs="Calibri" w:eastAsia="Calibri" w:hAnsi="Calibri"/>
          <w:sz w:val="21"/>
          <w:szCs w:val="21"/>
        </w:rPr>
        <w:t xml:space="preserve">, and each invoice shall be a valid tax invoice.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The Client shall reimburse pre-approved expenses at cost, on production of receipts.</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Late payment carries interest at </w:t>
      </w:r>
      <w:r>
        <w:rPr>
          <w:rFonts w:ascii="Calibri" w:cs="Calibri" w:eastAsia="Calibri" w:hAnsi="Calibri"/>
          <w:b/>
          <w:bCs/>
          <w:sz w:val="21"/>
          <w:szCs w:val="21"/>
        </w:rPr>
        <w:t xml:space="preserve">[RATE]</w:t>
      </w:r>
      <w:r>
        <w:rPr>
          <w:rFonts w:ascii="Calibri" w:cs="Calibri" w:eastAsia="Calibri" w:hAnsi="Calibri"/>
          <w:sz w:val="21"/>
          <w:szCs w:val="21"/>
        </w:rPr>
        <w:t xml:space="preserve"> per cent per annum, and the Supplier may suspend the services on </w:t>
      </w:r>
      <w:r>
        <w:rPr>
          <w:rFonts w:ascii="Calibri" w:cs="Calibri" w:eastAsia="Calibri" w:hAnsi="Calibri"/>
          <w:b/>
          <w:bCs/>
          <w:sz w:val="21"/>
          <w:szCs w:val="21"/>
        </w:rPr>
        <w:t xml:space="preserve">[14]</w:t>
      </w:r>
      <w:r>
        <w:rPr>
          <w:rFonts w:ascii="Calibri" w:cs="Calibri" w:eastAsia="Calibri" w:hAnsi="Calibri"/>
          <w:sz w:val="21"/>
          <w:szCs w:val="21"/>
        </w:rPr>
        <w:t xml:space="preserve"> days written notice where an undisputed invoice is more than </w:t>
      </w:r>
      <w:r>
        <w:rPr>
          <w:rFonts w:ascii="Calibri" w:cs="Calibri" w:eastAsia="Calibri" w:hAnsi="Calibri"/>
          <w:b/>
          <w:bCs/>
          <w:sz w:val="21"/>
          <w:szCs w:val="21"/>
        </w:rPr>
        <w:t xml:space="preserve">[30]</w:t>
      </w:r>
      <w:r>
        <w:rPr>
          <w:rFonts w:ascii="Calibri" w:cs="Calibri" w:eastAsia="Calibri" w:hAnsi="Calibri"/>
          <w:sz w:val="21"/>
          <w:szCs w:val="21"/>
        </w:rPr>
        <w:t xml:space="preserve"> days overdue.</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sz w:val="21"/>
          <w:szCs w:val="21"/>
        </w:rPr>
        <w:t xml:space="preserve">The Client may withhold a disputed amount provided it notifies the dispute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of the invoice and pays the balance.</w:t>
      </w:r>
    </w:p>
    <w:p>
      <w:pPr>
        <w:spacing w:after="120" w:before="60" w:line="276"/>
        <w:ind w:left="720" w:hanging="720"/>
        <w:jc w:val="both"/>
      </w:pPr>
      <w:r>
        <w:rPr>
          <w:rFonts w:ascii="Calibri" w:cs="Calibri" w:eastAsia="Calibri" w:hAnsi="Calibri"/>
          <w:sz w:val="21"/>
          <w:szCs w:val="21"/>
        </w:rPr>
        <w:t xml:space="preserve">5.7	</w:t>
      </w:r>
      <w:r>
        <w:rPr>
          <w:rFonts w:ascii="Calibri" w:cs="Calibri" w:eastAsia="Calibri" w:hAnsi="Calibri"/>
          <w:sz w:val="21"/>
          <w:szCs w:val="21"/>
        </w:rPr>
        <w:t xml:space="preserve">Fees may be increased once in any </w:t>
      </w:r>
      <w:r>
        <w:rPr>
          <w:rFonts w:ascii="Calibri" w:cs="Calibri" w:eastAsia="Calibri" w:hAnsi="Calibri"/>
          <w:b/>
          <w:bCs/>
          <w:sz w:val="21"/>
          <w:szCs w:val="21"/>
        </w:rPr>
        <w:t xml:space="preserve">[12]</w:t>
      </w:r>
      <w:r>
        <w:rPr>
          <w:rFonts w:ascii="Calibri" w:cs="Calibri" w:eastAsia="Calibri" w:hAnsi="Calibri"/>
          <w:sz w:val="21"/>
          <w:szCs w:val="21"/>
        </w:rPr>
        <w:t xml:space="preserve">-month period on </w:t>
      </w:r>
      <w:r>
        <w:rPr>
          <w:rFonts w:ascii="Calibri" w:cs="Calibri" w:eastAsia="Calibri" w:hAnsi="Calibri"/>
          <w:b/>
          <w:bCs/>
          <w:sz w:val="21"/>
          <w:szCs w:val="21"/>
        </w:rPr>
        <w:t xml:space="preserve">[60]</w:t>
      </w:r>
      <w:r>
        <w:rPr>
          <w:rFonts w:ascii="Calibri" w:cs="Calibri" w:eastAsia="Calibri" w:hAnsi="Calibri"/>
          <w:sz w:val="21"/>
          <w:szCs w:val="21"/>
        </w:rPr>
        <w:t xml:space="preserve"> days notice; the Client may terminate the affected SOW if it does not accept the increase.</w:t>
      </w:r>
    </w:p>
    <w:p>
      <w:pPr>
        <w:spacing w:after="120" w:before="60" w:line="276"/>
        <w:ind w:left="720" w:hanging="720"/>
        <w:jc w:val="both"/>
      </w:pPr>
      <w:r>
        <w:rPr>
          <w:rFonts w:ascii="Calibri" w:cs="Calibri" w:eastAsia="Calibri" w:hAnsi="Calibri"/>
          <w:sz w:val="21"/>
          <w:szCs w:val="21"/>
        </w:rPr>
        <w:t xml:space="preserve">5.8	</w:t>
      </w:r>
      <w:r>
        <w:rPr>
          <w:rFonts w:ascii="Calibri" w:cs="Calibri" w:eastAsia="Calibri" w:hAnsi="Calibri"/>
          <w:sz w:val="21"/>
          <w:szCs w:val="21"/>
        </w:rPr>
        <w:t xml:space="preserve">Where withholding tax is required by law on a payment, </w:t>
      </w:r>
      <w:r>
        <w:rPr>
          <w:rFonts w:ascii="Calibri" w:cs="Calibri" w:eastAsia="Calibri" w:hAnsi="Calibri"/>
          <w:b/>
          <w:bCs/>
          <w:sz w:val="21"/>
          <w:szCs w:val="21"/>
        </w:rPr>
        <w:t xml:space="preserve">[the Client shall gross up so the Supplier receives the full amount / the Supplier bears it]</w:t>
      </w:r>
      <w:r>
        <w:rPr>
          <w:rFonts w:ascii="Calibri" w:cs="Calibri" w:eastAsia="Calibri" w:hAnsi="Calibri"/>
          <w:sz w:val="21"/>
          <w:szCs w:val="21"/>
        </w:rPr>
        <w:t xml:space="preserve">. </w:t>
      </w:r>
      <w:r>
        <w:rPr>
          <w:rFonts w:ascii="Calibri" w:cs="Calibri" w:eastAsia="Calibri" w:hAnsi="Calibri"/>
          <w:i/>
          <w:iCs/>
          <w:sz w:val="21"/>
          <w:szCs w:val="21"/>
        </w:rPr>
        <w:t xml:space="preserve">(A commercial decision — specify. Relevant on cross-border payments.)</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INTELLECTUAL PROPERTY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b/>
          <w:bCs/>
          <w:sz w:val="21"/>
          <w:szCs w:val="21"/>
        </w:rPr>
        <w:t xml:space="preserve">Background IP</w:t>
      </w:r>
      <w:r>
        <w:rPr>
          <w:rFonts w:ascii="Calibri" w:cs="Calibri" w:eastAsia="Calibri" w:hAnsi="Calibri"/>
          <w:sz w:val="21"/>
          <w:szCs w:val="21"/>
        </w:rPr>
        <w:t xml:space="preserve"> — anything either party owned before this agreement or develops independently of it — remains that party’s property.</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Deliverables.</w:t>
      </w:r>
      <w:r>
        <w:rPr>
          <w:rFonts w:ascii="Calibri" w:cs="Calibri" w:eastAsia="Calibri" w:hAnsi="Calibri"/>
          <w:sz w:val="21"/>
          <w:szCs w:val="21"/>
        </w:rPr>
        <w:t xml:space="preserve"> </w:t>
      </w:r>
      <w:r>
        <w:rPr>
          <w:rFonts w:ascii="Calibri" w:cs="Calibri" w:eastAsia="Calibri" w:hAnsi="Calibri"/>
          <w:b/>
          <w:bCs/>
          <w:sz w:val="21"/>
          <w:szCs w:val="21"/>
        </w:rPr>
        <w:t xml:space="preserve">[Option A — assignment]</w:t>
      </w:r>
      <w:r>
        <w:rPr>
          <w:rFonts w:ascii="Calibri" w:cs="Calibri" w:eastAsia="Calibri" w:hAnsi="Calibri"/>
          <w:sz w:val="21"/>
          <w:szCs w:val="21"/>
        </w:rPr>
        <w:t xml:space="preserve"> On payment in full for the relevant SOW, the Supplier assigns to the Client all intellectual property in the deliverables created specifically for the Client under that SOW.</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[Option B — licence]</w:t>
      </w:r>
      <w:r>
        <w:rPr>
          <w:rFonts w:ascii="Calibri" w:cs="Calibri" w:eastAsia="Calibri" w:hAnsi="Calibri"/>
          <w:sz w:val="21"/>
          <w:szCs w:val="21"/>
        </w:rPr>
        <w:t xml:space="preserve"> The Supplier retains ownership of the deliverables and grants the Client a </w:t>
      </w:r>
      <w:r>
        <w:rPr>
          <w:rFonts w:ascii="Calibri" w:cs="Calibri" w:eastAsia="Calibri" w:hAnsi="Calibri"/>
          <w:b/>
          <w:bCs/>
          <w:sz w:val="21"/>
          <w:szCs w:val="21"/>
        </w:rPr>
        <w:t xml:space="preserve">[perpetual, worldwide, non-exclusive]</w:t>
      </w:r>
      <w:r>
        <w:rPr>
          <w:rFonts w:ascii="Calibri" w:cs="Calibri" w:eastAsia="Calibri" w:hAnsi="Calibri"/>
          <w:sz w:val="21"/>
          <w:szCs w:val="21"/>
        </w:rPr>
        <w:t xml:space="preserve"> licence to use them for its internal business purposes.</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Supplier retains ownership of its tools, methodologies, frameworks and know-how, including anything of general application developed while performing the services, and grants the Client a licence to use them to the extent embedded in the deliverables.</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Where deliverables incorporate third party or open source material, the Supplier shall identify it in the SOW and ensure the Client has the necessary rights. </w:t>
      </w:r>
      <w:r>
        <w:rPr>
          <w:rFonts w:ascii="Calibri" w:cs="Calibri" w:eastAsia="Calibri" w:hAnsi="Calibri"/>
          <w:i/>
          <w:iCs/>
          <w:sz w:val="21"/>
          <w:szCs w:val="21"/>
        </w:rPr>
        <w:t xml:space="preserve">The Supplier shall not incorporate open source under a licence with copyleft obligations without the Client’s prior written consent.</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i/>
          <w:iCs/>
          <w:sz w:val="21"/>
          <w:szCs w:val="21"/>
        </w:rPr>
        <w:t xml:space="preserve">Assignment versus licence is one of the two or three points genuinely worth negotiating. A client paying bespoke development rates usually expects assignment; a supplier building a product should resist assigning its core methodology.</w:t>
      </w:r>
    </w:p>
    <w:p>
      <w:pPr>
        <w:keepNext/>
        <w:spacing w:after="120" w:before="280"/>
        <w:outlineLvl w:val="0"/>
      </w:pPr>
      <w:r>
        <w:rPr>
          <w:rFonts w:ascii="Calibri" w:cs="Calibri" w:eastAsia="Calibri" w:hAnsi="Calibri"/>
          <w:b/>
          <w:bCs/>
          <w:color w:val="14161B"/>
          <w:sz w:val="22"/>
          <w:szCs w:val="22"/>
        </w:rPr>
        <w:t xml:space="preserve">7. CONFIDENTIALITY AND DATA</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Each party shall keep the other’s confidential information confidential, use it only for this agreement, and return or destroy it on termination, subject to backup retention under continuing obligations.</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Where the Supplier processes personal data on the Client’s behalf, it shall comply with the Personal Data Protection Act 2012, process only on the Client’s instructions, apply reasonable security arrangements, </w:t>
      </w:r>
      <w:r>
        <w:rPr>
          <w:rFonts w:ascii="Calibri" w:cs="Calibri" w:eastAsia="Calibri" w:hAnsi="Calibri"/>
          <w:b/>
          <w:bCs/>
          <w:sz w:val="21"/>
          <w:szCs w:val="21"/>
        </w:rPr>
        <w:t xml:space="preserve">notify the Client immediately of any data breach</w:t>
      </w:r>
      <w:r>
        <w:rPr>
          <w:rFonts w:ascii="Calibri" w:cs="Calibri" w:eastAsia="Calibri" w:hAnsi="Calibri"/>
          <w:sz w:val="21"/>
          <w:szCs w:val="21"/>
        </w:rPr>
        <w:t xml:space="preserve">, not engage a sub-processor without consent, and not transfer data outside Singapore unless the recipient is bound to a comparable standard of protection. Where personal data is material to the engagement, the parties shall enter into a data processing addendum.</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Neither party shall use the other’s name or logo publicly without prior written consent. </w:t>
      </w:r>
      <w:r>
        <w:rPr>
          <w:rFonts w:ascii="Calibri" w:cs="Calibri" w:eastAsia="Calibri" w:hAnsi="Calibri"/>
          <w:b/>
          <w:bCs/>
          <w:i/>
          <w:iCs/>
          <w:sz w:val="21"/>
          <w:szCs w:val="21"/>
        </w:rPr>
        <w:t xml:space="preserve">[Or: the Supplier may identify the Client as a client, and no more, without consent.]</w:t>
      </w:r>
    </w:p>
    <w:p>
      <w:pPr>
        <w:keepNext/>
        <w:spacing w:after="120" w:before="280"/>
        <w:outlineLvl w:val="0"/>
      </w:pPr>
      <w:r>
        <w:rPr>
          <w:rFonts w:ascii="Calibri" w:cs="Calibri" w:eastAsia="Calibri" w:hAnsi="Calibri"/>
          <w:b/>
          <w:bCs/>
          <w:color w:val="14161B"/>
          <w:sz w:val="22"/>
          <w:szCs w:val="22"/>
        </w:rPr>
        <w:t xml:space="preserve">8. WARRANTIES AND LIABILITY</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Supplier warrants that the services will be performed with reasonable skill and care, and that the deliverables will conform in material respects to the SOW for </w:t>
      </w:r>
      <w:r>
        <w:rPr>
          <w:rFonts w:ascii="Calibri" w:cs="Calibri" w:eastAsia="Calibri" w:hAnsi="Calibri"/>
          <w:b/>
          <w:bCs/>
          <w:sz w:val="21"/>
          <w:szCs w:val="21"/>
        </w:rPr>
        <w:t xml:space="preserve">[90]</w:t>
      </w:r>
      <w:r>
        <w:rPr>
          <w:rFonts w:ascii="Calibri" w:cs="Calibri" w:eastAsia="Calibri" w:hAnsi="Calibri"/>
          <w:sz w:val="21"/>
          <w:szCs w:val="21"/>
        </w:rPr>
        <w:t xml:space="preserve"> days after acceptance. The Supplier’s obligation for breach of this warranty is to re-perform or correct at its own cost.</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All other warranties and conditions implied by law are excluded to the extent permitted.</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Neither party excludes liability for death or personal injury caused by negligence, for fraud, or for anything else that cannot lawfully be excluded.</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Subject to Clause 8.3, neither party is liable for </w:t>
      </w:r>
      <w:r>
        <w:rPr>
          <w:rFonts w:ascii="Calibri" w:cs="Calibri" w:eastAsia="Calibri" w:hAnsi="Calibri"/>
          <w:b/>
          <w:bCs/>
          <w:sz w:val="21"/>
          <w:szCs w:val="21"/>
        </w:rPr>
        <w:t xml:space="preserve">indirect or consequential loss, loss of profit, loss of revenue, loss of anticipated savings, loss of business or loss of goodwill</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Subject to Clause 8.3, each party’s total liability is capped at </w:t>
      </w:r>
      <w:r>
        <w:rPr>
          <w:rFonts w:ascii="Calibri" w:cs="Calibri" w:eastAsia="Calibri" w:hAnsi="Calibri"/>
          <w:b/>
          <w:bCs/>
          <w:sz w:val="21"/>
          <w:szCs w:val="21"/>
        </w:rPr>
        <w:t xml:space="preserve">[the fees paid under the relevant SOW in the 12 months before the claim / S$ ______]</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b/>
          <w:bCs/>
          <w:sz w:val="21"/>
          <w:szCs w:val="21"/>
        </w:rPr>
        <w:t xml:space="preserve">[Where carve-outs apply]</w:t>
      </w:r>
      <w:r>
        <w:rPr>
          <w:rFonts w:ascii="Calibri" w:cs="Calibri" w:eastAsia="Calibri" w:hAnsi="Calibri"/>
          <w:sz w:val="21"/>
          <w:szCs w:val="21"/>
        </w:rPr>
        <w:t xml:space="preserve"> The cap does not apply to the Supplier’s liability for breach of confidentiality, breach of the data protection obligations, or the IP indemnity. </w:t>
      </w:r>
      <w:r>
        <w:rPr>
          <w:rFonts w:ascii="Calibri" w:cs="Calibri" w:eastAsia="Calibri" w:hAnsi="Calibri"/>
          <w:i/>
          <w:iCs/>
          <w:sz w:val="21"/>
          <w:szCs w:val="21"/>
        </w:rPr>
        <w:t xml:space="preserve">(Whether these sit inside or outside the cap is heavily negotiated — a cap that swallows a data breach indemnity leaves the Client carrying regulatory exposure it cannot control.)</w:t>
      </w:r>
    </w:p>
    <w:p>
      <w:pPr>
        <w:spacing w:after="120" w:before="60" w:line="276"/>
        <w:ind w:left="720" w:hanging="720"/>
        <w:jc w:val="both"/>
      </w:pPr>
      <w:r>
        <w:rPr>
          <w:rFonts w:ascii="Calibri" w:cs="Calibri" w:eastAsia="Calibri" w:hAnsi="Calibri"/>
          <w:sz w:val="21"/>
          <w:szCs w:val="21"/>
        </w:rPr>
        <w:t xml:space="preserve">8.7	</w:t>
      </w:r>
      <w:r>
        <w:rPr>
          <w:rFonts w:ascii="Calibri" w:cs="Calibri" w:eastAsia="Calibri" w:hAnsi="Calibri"/>
          <w:sz w:val="21"/>
          <w:szCs w:val="21"/>
        </w:rPr>
        <w:t xml:space="preserve">The Supplier shall indemnify the Client against claims that a deliverable infringes a third party’s intellectual property, and may at its option procure a right to continue use, modify the deliverable, or refund the fees paid for it.</w:t>
      </w:r>
    </w:p>
    <w:p>
      <w:pPr>
        <w:spacing w:after="120" w:before="60" w:line="276"/>
        <w:ind w:left="720" w:hanging="720"/>
        <w:jc w:val="both"/>
      </w:pPr>
      <w:r>
        <w:rPr>
          <w:rFonts w:ascii="Calibri" w:cs="Calibri" w:eastAsia="Calibri" w:hAnsi="Calibri"/>
          <w:sz w:val="21"/>
          <w:szCs w:val="21"/>
        </w:rPr>
        <w:t xml:space="preserve">8.8	</w:t>
      </w:r>
      <w:r>
        <w:rPr>
          <w:rFonts w:ascii="Calibri" w:cs="Calibri" w:eastAsia="Calibri" w:hAnsi="Calibri"/>
          <w:sz w:val="21"/>
          <w:szCs w:val="21"/>
        </w:rPr>
        <w:t xml:space="preserve">The Supplier shall maintain </w:t>
      </w:r>
      <w:r>
        <w:rPr>
          <w:rFonts w:ascii="Calibri" w:cs="Calibri" w:eastAsia="Calibri" w:hAnsi="Calibri"/>
          <w:b/>
          <w:bCs/>
          <w:sz w:val="21"/>
          <w:szCs w:val="21"/>
        </w:rPr>
        <w:t xml:space="preserve">[professional indemnity insurance of S$ ______, public liability insurance of S$ ______, and work injury compensation insurance]</w:t>
      </w:r>
      <w:r>
        <w:rPr>
          <w:rFonts w:ascii="Calibri" w:cs="Calibri" w:eastAsia="Calibri" w:hAnsi="Calibri"/>
          <w:sz w:val="21"/>
          <w:szCs w:val="21"/>
        </w:rPr>
        <w:t xml:space="preserve">, and provide evidence on request.</w:t>
      </w:r>
    </w:p>
    <w:p>
      <w:pPr>
        <w:keepNext/>
        <w:spacing w:after="120" w:before="280"/>
        <w:outlineLvl w:val="0"/>
      </w:pPr>
      <w:r>
        <w:rPr>
          <w:rFonts w:ascii="Calibri" w:cs="Calibri" w:eastAsia="Calibri" w:hAnsi="Calibri"/>
          <w:b/>
          <w:bCs/>
          <w:color w:val="14161B"/>
          <w:sz w:val="22"/>
          <w:szCs w:val="22"/>
        </w:rPr>
        <w:t xml:space="preserve">9. TERM AND TERMINATION</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This agreement runs for the term stated and renews automatically unless either party gives </w:t>
      </w:r>
      <w:r>
        <w:rPr>
          <w:rFonts w:ascii="Calibri" w:cs="Calibri" w:eastAsia="Calibri" w:hAnsi="Calibri"/>
          <w:b/>
          <w:bCs/>
          <w:sz w:val="21"/>
          <w:szCs w:val="21"/>
        </w:rPr>
        <w:t xml:space="preserve">[60]</w:t>
      </w:r>
      <w:r>
        <w:rPr>
          <w:rFonts w:ascii="Calibri" w:cs="Calibri" w:eastAsia="Calibri" w:hAnsi="Calibri"/>
          <w:sz w:val="21"/>
          <w:szCs w:val="21"/>
        </w:rPr>
        <w:t xml:space="preserve"> days notice.</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Either party may terminate this agreement or any SOW on </w:t>
      </w:r>
      <w:r>
        <w:rPr>
          <w:rFonts w:ascii="Calibri" w:cs="Calibri" w:eastAsia="Calibri" w:hAnsi="Calibri"/>
          <w:b/>
          <w:bCs/>
          <w:sz w:val="21"/>
          <w:szCs w:val="21"/>
        </w:rPr>
        <w:t xml:space="preserve">[30]</w:t>
      </w:r>
      <w:r>
        <w:rPr>
          <w:rFonts w:ascii="Calibri" w:cs="Calibri" w:eastAsia="Calibri" w:hAnsi="Calibri"/>
          <w:sz w:val="21"/>
          <w:szCs w:val="21"/>
        </w:rPr>
        <w:t xml:space="preserve"> days notice, or immediately where the other commits a material breach not remedied within </w:t>
      </w:r>
      <w:r>
        <w:rPr>
          <w:rFonts w:ascii="Calibri" w:cs="Calibri" w:eastAsia="Calibri" w:hAnsi="Calibri"/>
          <w:b/>
          <w:bCs/>
          <w:sz w:val="21"/>
          <w:szCs w:val="21"/>
        </w:rPr>
        <w:t xml:space="preserve">[14]</w:t>
      </w:r>
      <w:r>
        <w:rPr>
          <w:rFonts w:ascii="Calibri" w:cs="Calibri" w:eastAsia="Calibri" w:hAnsi="Calibri"/>
          <w:sz w:val="21"/>
          <w:szCs w:val="21"/>
        </w:rPr>
        <w:t xml:space="preserve"> days of notice, or becomes insolvent.</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Termination of this agreement terminates all SOWs. Termination of an SOW does not terminate this agreement.</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On termination the Client shall pay for services performed and expenses committed to the termination date, and the Supplier shall deliver work in progress and co-operate in an orderly handover for up to </w:t>
      </w:r>
      <w:r>
        <w:rPr>
          <w:rFonts w:ascii="Calibri" w:cs="Calibri" w:eastAsia="Calibri" w:hAnsi="Calibri"/>
          <w:b/>
          <w:bCs/>
          <w:sz w:val="21"/>
          <w:szCs w:val="21"/>
        </w:rPr>
        <w:t xml:space="preserve">[30]</w:t>
      </w:r>
      <w:r>
        <w:rPr>
          <w:rFonts w:ascii="Calibri" w:cs="Calibri" w:eastAsia="Calibri" w:hAnsi="Calibri"/>
          <w:sz w:val="21"/>
          <w:szCs w:val="21"/>
        </w:rPr>
        <w:t xml:space="preserve"> days at its standard rates.</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sz w:val="21"/>
          <w:szCs w:val="21"/>
        </w:rPr>
        <w:t xml:space="preserve">Clauses 6, 7, 8 and 10 survive termination.</w:t>
      </w:r>
    </w:p>
    <w:p>
      <w:pPr>
        <w:keepNext/>
        <w:spacing w:after="120" w:before="280"/>
        <w:outlineLvl w:val="0"/>
      </w:pPr>
      <w:r>
        <w:rPr>
          <w:rFonts w:ascii="Calibri" w:cs="Calibri" w:eastAsia="Calibri" w:hAnsi="Calibri"/>
          <w:b/>
          <w:bCs/>
          <w:color w:val="14161B"/>
          <w:sz w:val="22"/>
          <w:szCs w:val="22"/>
        </w:rPr>
        <w:t xml:space="preserve">10. GENERAL</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Neither party shall, during the term and for </w:t>
      </w:r>
      <w:r>
        <w:rPr>
          <w:rFonts w:ascii="Calibri" w:cs="Calibri" w:eastAsia="Calibri" w:hAnsi="Calibri"/>
          <w:b/>
          <w:bCs/>
          <w:sz w:val="21"/>
          <w:szCs w:val="21"/>
        </w:rPr>
        <w:t xml:space="preserve">[6]</w:t>
      </w:r>
      <w:r>
        <w:rPr>
          <w:rFonts w:ascii="Calibri" w:cs="Calibri" w:eastAsia="Calibri" w:hAnsi="Calibri"/>
          <w:sz w:val="21"/>
          <w:szCs w:val="21"/>
        </w:rPr>
        <w:t xml:space="preserve"> months after, solicit or employ any employee of the other who was materially involved in the services, save where they respond to a public advertisement.</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The Supplier is an independent contractor. Nothing creates employment, partnership or agency.</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Neither party is liable for failure caused by an event beyond its reasonable control, provided it notifies the other and mitigates. Either party may terminate an affected SOW if the event continues for more than </w:t>
      </w:r>
      <w:r>
        <w:rPr>
          <w:rFonts w:ascii="Calibri" w:cs="Calibri" w:eastAsia="Calibri" w:hAnsi="Calibri"/>
          <w:b/>
          <w:bCs/>
          <w:sz w:val="21"/>
          <w:szCs w:val="21"/>
        </w:rPr>
        <w:t xml:space="preserve">[30]</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sz w:val="21"/>
          <w:szCs w:val="21"/>
        </w:rPr>
        <w:t xml:space="preserve">Neither party may assign without the other’s consent, save to a group company or on a sale of its business.</w:t>
      </w:r>
    </w:p>
    <w:p>
      <w:pPr>
        <w:spacing w:after="120" w:before="60" w:line="276"/>
        <w:ind w:left="720" w:hanging="720"/>
        <w:jc w:val="both"/>
      </w:pPr>
      <w:r>
        <w:rPr>
          <w:rFonts w:ascii="Calibri" w:cs="Calibri" w:eastAsia="Calibri" w:hAnsi="Calibri"/>
          <w:sz w:val="21"/>
          <w:szCs w:val="21"/>
        </w:rPr>
        <w:t xml:space="preserve">10.5	</w:t>
      </w:r>
      <w:r>
        <w:rPr>
          <w:rFonts w:ascii="Calibri" w:cs="Calibri" w:eastAsia="Calibri" w:hAnsi="Calibri"/>
          <w:sz w:val="21"/>
          <w:szCs w:val="21"/>
        </w:rPr>
        <w:t xml:space="preserve">This agreement and the SOWs are the entire agreement. No amendment is effective unless in writing and signed.</w:t>
      </w:r>
    </w:p>
    <w:p>
      <w:pPr>
        <w:spacing w:after="120" w:before="60" w:line="276"/>
        <w:ind w:left="720" w:hanging="720"/>
        <w:jc w:val="both"/>
      </w:pPr>
      <w:r>
        <w:rPr>
          <w:rFonts w:ascii="Calibri" w:cs="Calibri" w:eastAsia="Calibri" w:hAnsi="Calibri"/>
          <w:sz w:val="21"/>
          <w:szCs w:val="21"/>
        </w:rPr>
        <w:t xml:space="preserve">10.6	</w:t>
      </w:r>
      <w:r>
        <w:rPr>
          <w:rFonts w:ascii="Calibri" w:cs="Calibri" w:eastAsia="Calibri" w:hAnsi="Calibri"/>
          <w:sz w:val="21"/>
          <w:szCs w:val="21"/>
        </w:rPr>
        <w:t xml:space="preserve">A person who is not a party has no right under the Contracts (Rights of Third Parties) Act 2001 to enforce any term.</w:t>
      </w:r>
    </w:p>
    <w:p>
      <w:pPr>
        <w:spacing w:after="120" w:before="60" w:line="276"/>
        <w:ind w:left="720" w:hanging="720"/>
        <w:jc w:val="both"/>
      </w:pPr>
      <w:r>
        <w:rPr>
          <w:rFonts w:ascii="Calibri" w:cs="Calibri" w:eastAsia="Calibri" w:hAnsi="Calibri"/>
          <w:sz w:val="21"/>
          <w:szCs w:val="21"/>
        </w:rPr>
        <w:t xml:space="preserve">10.7	</w:t>
      </w:r>
      <w:r>
        <w:rPr>
          <w:rFonts w:ascii="Calibri" w:cs="Calibri" w:eastAsia="Calibri" w:hAnsi="Calibri"/>
          <w:sz w:val="21"/>
          <w:szCs w:val="21"/>
        </w:rPr>
        <w:t xml:space="preserve">Disputes shall be escalated to senior representatives of each party, then to </w:t>
      </w:r>
      <w:r>
        <w:rPr>
          <w:rFonts w:ascii="Calibri" w:cs="Calibri" w:eastAsia="Calibri" w:hAnsi="Calibri"/>
          <w:b/>
          <w:bCs/>
          <w:sz w:val="21"/>
          <w:szCs w:val="21"/>
        </w:rPr>
        <w:t xml:space="preserve">[mediation]</w:t>
      </w:r>
      <w:r>
        <w:rPr>
          <w:rFonts w:ascii="Calibri" w:cs="Calibri" w:eastAsia="Calibri" w:hAnsi="Calibri"/>
          <w:sz w:val="21"/>
          <w:szCs w:val="21"/>
        </w:rPr>
        <w:t xml:space="preserve">, before proceedings.</w:t>
      </w:r>
    </w:p>
    <w:p>
      <w:pPr>
        <w:spacing w:after="120" w:before="60" w:line="276"/>
        <w:ind w:left="720" w:hanging="720"/>
        <w:jc w:val="both"/>
      </w:pPr>
      <w:r>
        <w:rPr>
          <w:rFonts w:ascii="Calibri" w:cs="Calibri" w:eastAsia="Calibri" w:hAnsi="Calibri"/>
          <w:sz w:val="21"/>
          <w:szCs w:val="21"/>
        </w:rPr>
        <w:t xml:space="preserve">10.8	</w:t>
      </w:r>
      <w:r>
        <w:rPr>
          <w:rFonts w:ascii="Calibri" w:cs="Calibri" w:eastAsia="Calibri" w:hAnsi="Calibri"/>
          <w:sz w:val="21"/>
          <w:szCs w:val="21"/>
        </w:rPr>
        <w:t xml:space="preserve">This agreement is governed by the laws of Singapore and the parties submit to the exclusive jurisdiction of the Singapore courts.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[SUPPLIER]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[CLIENT]</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STATEMENT OF WORK</w:t>
      </w:r>
    </w:p>
    <w:p>
      <w:pPr>
        <w:spacing w:after="260"/>
        <w:jc w:val="center"/>
      </w:pPr>
      <w:r>
        <w:rPr>
          <w:rFonts w:ascii="Calibri" w:cs="Calibri" w:eastAsia="Calibri" w:hAnsi="Calibri"/>
          <w:i/>
          <w:iCs/>
          <w:color w:val="6E7480"/>
          <w:sz w:val="19"/>
          <w:szCs w:val="19"/>
        </w:rPr>
        <w:t xml:space="preserve">SOW number </w:t>
      </w:r>
      <w:r>
        <w:rPr>
          <w:rFonts w:ascii="Calibri" w:cs="Calibri" w:eastAsia="Calibri" w:hAnsi="Calibri"/>
          <w:b/>
          <w:bCs/>
          <w:i/>
          <w:iCs/>
          <w:color w:val="6E7480"/>
          <w:sz w:val="19"/>
          <w:szCs w:val="19"/>
        </w:rPr>
        <w:t xml:space="preserve">[NUMBER]</w:t>
      </w:r>
    </w:p>
    <w:p>
      <w:pPr>
        <w:spacing w:after="140" w:before="0" w:line="276"/>
        <w:jc w:val="both"/>
      </w:pPr>
      <w:r>
        <w:rPr>
          <w:rFonts w:ascii="Calibri" w:cs="Calibri" w:eastAsia="Calibri" w:hAnsi="Calibri"/>
          <w:sz w:val="21"/>
          <w:szCs w:val="21"/>
        </w:rPr>
        <w:t xml:space="preserve">This SOW is entered into under the Master Services Agreement dated </w:t>
      </w:r>
      <w:r>
        <w:rPr>
          <w:rFonts w:ascii="Calibri" w:cs="Calibri" w:eastAsia="Calibri" w:hAnsi="Calibri"/>
          <w:b/>
          <w:bCs/>
          <w:sz w:val="21"/>
          <w:szCs w:val="21"/>
        </w:rPr>
        <w:t xml:space="preserve">[DATE]</w:t>
      </w:r>
      <w:r>
        <w:rPr>
          <w:rFonts w:ascii="Calibri" w:cs="Calibri" w:eastAsia="Calibri" w:hAnsi="Calibri"/>
          <w:sz w:val="21"/>
          <w:szCs w:val="21"/>
        </w:rPr>
        <w:t xml:space="preserve"> between </w:t>
      </w:r>
      <w:r>
        <w:rPr>
          <w:rFonts w:ascii="Calibri" w:cs="Calibri" w:eastAsia="Calibri" w:hAnsi="Calibri"/>
          <w:b/>
          <w:bCs/>
          <w:sz w:val="21"/>
          <w:szCs w:val="21"/>
        </w:rPr>
        <w:t xml:space="preserve">[SUPPLIER]</w:t>
      </w:r>
      <w:r>
        <w:rPr>
          <w:rFonts w:ascii="Calibri" w:cs="Calibri" w:eastAsia="Calibri" w:hAnsi="Calibri"/>
          <w:sz w:val="21"/>
          <w:szCs w:val="21"/>
        </w:rPr>
        <w:t xml:space="preserve"> and </w:t>
      </w:r>
      <w:r>
        <w:rPr>
          <w:rFonts w:ascii="Calibri" w:cs="Calibri" w:eastAsia="Calibri" w:hAnsi="Calibri"/>
          <w:b/>
          <w:bCs/>
          <w:sz w:val="21"/>
          <w:szCs w:val="21"/>
        </w:rPr>
        <w:t xml:space="preserve">[CLIENT]</w:t>
      </w:r>
      <w:r>
        <w:rPr>
          <w:rFonts w:ascii="Calibri" w:cs="Calibri" w:eastAsia="Calibri" w:hAnsi="Calibri"/>
          <w:sz w:val="21"/>
          <w:szCs w:val="21"/>
        </w:rPr>
        <w:t xml:space="preserve">, and incorporates its terms.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SOW number and date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 </w:t>
            </w:r>
            <w:r>
              <w:rPr>
                <w:rFonts w:ascii="Calibri" w:cs="Calibri" w:eastAsia="Calibri" w:hAnsi="Calibri"/>
                <w:b/>
                <w:bCs/>
                <w:sz w:val="18"/>
                <w:szCs w:val="18"/>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Client contact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sz w:val="18"/>
                <w:szCs w:val="18"/>
              </w:rPr>
              <w:t xml:space="preserve">, </w:t>
            </w:r>
            <w:r>
              <w:rPr>
                <w:rFonts w:ascii="Calibri" w:cs="Calibri" w:eastAsia="Calibri" w:hAnsi="Calibri"/>
                <w:b/>
                <w:bCs/>
                <w:sz w:val="18"/>
                <w:szCs w:val="18"/>
              </w:rPr>
              <w:t xml:space="preserve">[EMAIL]</w:t>
            </w:r>
            <w:r>
              <w:rPr>
                <w:rFonts w:ascii="Calibri" w:cs="Calibri" w:eastAsia="Calibri" w:hAnsi="Calibri"/>
                <w:sz w:val="18"/>
                <w:szCs w:val="18"/>
              </w:rPr>
              <w:t xml:space="preserve"> — authorised to approve changes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Supplier contact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sz w:val="18"/>
                <w:szCs w:val="18"/>
              </w:rPr>
              <w:t xml:space="preserve">, </w:t>
            </w:r>
            <w:r>
              <w:rPr>
                <w:rFonts w:ascii="Calibri" w:cs="Calibri" w:eastAsia="Calibri" w:hAnsi="Calibri"/>
                <w:b/>
                <w:bCs/>
                <w:sz w:val="18"/>
                <w:szCs w:val="18"/>
              </w:rPr>
              <w:t xml:space="preserve">[EMAIL]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Objective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THE CLIENT IS TRYING TO ACHIEVE — one paragraph]</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Scope — in</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[LIST SPECIFICALLY]</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Scope — out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[LIST WHAT IS NOT INCLUDED — this list prevents more disputes than the "in" list]</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Deliverables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[ITEMISE, with format and acceptance criteria for each]</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Acceptance criteria</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[HOW EACH DELIVERABLE WILL BE ASSESSED, and by whom]</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Acceptance period</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w:t>
            </w:r>
            <w:r>
              <w:rPr>
                <w:rFonts w:ascii="Calibri" w:cs="Calibri" w:eastAsia="Calibri" w:hAnsi="Calibri"/>
                <w:sz w:val="18"/>
                <w:szCs w:val="18"/>
              </w:rPr>
              <w:t xml:space="preserve"> business days from delivery; deemed accepted if no written rejection with reasons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Timetable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[MILESTONES WITH DATES]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Client dependencies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THE CLIENT MUST PROVIDE, BY WHEN — delay here extends the timetable]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Team and rates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[NAMED ROLES, DAY RATES]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Fees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[FIXED PRICE OF S$ ______ / TIME AND MATERIALS, ESTIMATED S$ ______]</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Estimate cap</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Supplier shall notify the Client before exceeding ______ per cent of the estimate]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Invoicing</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[Monthly in arrears / on milestones]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Expenses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[Pre-approved, at cost]</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Assumptions</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THIS ESTIMATE ASSUMES — if an assumption fails, it is a change]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Third party or open source material</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[IDENTIFY, with licence terms]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Personal data processed</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[None / Describe — a data processing addendum applies]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Variations to the Master Agreement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[None — or identify the clause varied and how]</w:t>
            </w:r>
          </w:p>
        </w:tc>
      </w:tr>
    </w:tbl>
    <w:p>
      <w:pPr>
        <w:spacing w:after="16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[SUPPLIER]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[CLIENT]</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Keep commercial terms in the master, scope in the SOW</w:t>
      </w:r>
    </w:p>
    <w:p>
      <w:pPr>
        <w:spacing w:after="60" w:line="264"/>
        <w:jc w:val="both"/>
      </w:pPr>
      <w:r>
        <w:rPr>
          <w:rFonts w:ascii="Calibri" w:cs="Calibri" w:eastAsia="Calibri" w:hAnsi="Calibri"/>
          <w:sz w:val="19"/>
          <w:szCs w:val="19"/>
        </w:rPr>
        <w:t xml:space="preserve">The structure earns its keep only if the SOW is confined to scope, deliverables, timing and price. Once SOWs start varying liability caps, IP ownership and payment terms, there are effectively several different contracts and nobody knows which applies. Clause 1.3 permits variation but requires it to be explicit and signed.</w:t>
      </w:r>
    </w:p>
    <w:p>
      <w:pPr>
        <w:keepNext/>
        <w:spacing w:after="40" w:before="140"/>
      </w:pPr>
      <w:r>
        <w:rPr>
          <w:rFonts w:ascii="Calibri" w:cs="Calibri" w:eastAsia="Calibri" w:hAnsi="Calibri"/>
          <w:b/>
          <w:bCs/>
          <w:color w:val="14161B"/>
          <w:sz w:val="20"/>
          <w:szCs w:val="20"/>
        </w:rPr>
        <w:t xml:space="preserve">Write the out-of-scope list properly</w:t>
      </w:r>
    </w:p>
    <w:p>
      <w:pPr>
        <w:spacing w:after="60" w:line="264"/>
        <w:jc w:val="both"/>
      </w:pPr>
      <w:r>
        <w:rPr>
          <w:rFonts w:ascii="Calibri" w:cs="Calibri" w:eastAsia="Calibri" w:hAnsi="Calibri"/>
          <w:sz w:val="19"/>
          <w:szCs w:val="19"/>
        </w:rPr>
        <w:t xml:space="preserve">The exclusions list in the SOW prevents more disputes than the inclusions list. Everyone agrees on what is being built; the argument is about what was assumed to come with it. Spend the time on that row.</w:t>
      </w:r>
    </w:p>
    <w:p>
      <w:pPr>
        <w:keepNext/>
        <w:spacing w:after="40" w:before="140"/>
      </w:pPr>
      <w:r>
        <w:rPr>
          <w:rFonts w:ascii="Calibri" w:cs="Calibri" w:eastAsia="Calibri" w:hAnsi="Calibri"/>
          <w:b/>
          <w:bCs/>
          <w:color w:val="14161B"/>
          <w:sz w:val="20"/>
          <w:szCs w:val="20"/>
        </w:rPr>
        <w:t xml:space="preserve">State the assumptions</w:t>
      </w:r>
    </w:p>
    <w:p>
      <w:pPr>
        <w:spacing w:after="60" w:line="264"/>
        <w:jc w:val="both"/>
      </w:pPr>
      <w:r>
        <w:rPr>
          <w:rFonts w:ascii="Calibri" w:cs="Calibri" w:eastAsia="Calibri" w:hAnsi="Calibri"/>
          <w:sz w:val="19"/>
          <w:szCs w:val="19"/>
        </w:rPr>
        <w:t xml:space="preserve">A fixed price rests on assumptions about data quality, access, decision speed and third party cooperation. When an assumption fails, the price should change. Assumptions recorded in the SOW convert that from an argument into a change request.</w:t>
      </w:r>
    </w:p>
    <w:p>
      <w:pPr>
        <w:keepNext/>
        <w:spacing w:after="40" w:before="140"/>
      </w:pPr>
      <w:r>
        <w:rPr>
          <w:rFonts w:ascii="Calibri" w:cs="Calibri" w:eastAsia="Calibri" w:hAnsi="Calibri"/>
          <w:b/>
          <w:bCs/>
          <w:color w:val="14161B"/>
          <w:sz w:val="20"/>
          <w:szCs w:val="20"/>
        </w:rPr>
        <w:t xml:space="preserve">Use the change process</w:t>
      </w:r>
    </w:p>
    <w:p>
      <w:pPr>
        <w:spacing w:after="60" w:line="264"/>
        <w:jc w:val="both"/>
      </w:pPr>
      <w:r>
        <w:rPr>
          <w:rFonts w:ascii="Calibri" w:cs="Calibri" w:eastAsia="Calibri" w:hAnsi="Calibri"/>
          <w:sz w:val="19"/>
          <w:szCs w:val="19"/>
        </w:rPr>
        <w:t xml:space="preserve">Scope creep is the most common cause of dispute in services engagements, and it happens through accumulated informal requests, none of which seemed worth a change order. Clause 4.2 makes unagreed work non-chargeable and non-obligatory, which protects both sides — but only if the process is actually used.</w:t>
      </w:r>
    </w:p>
    <w:p>
      <w:pPr>
        <w:keepNext/>
        <w:spacing w:after="40" w:before="140"/>
      </w:pPr>
      <w:r>
        <w:rPr>
          <w:rFonts w:ascii="Calibri" w:cs="Calibri" w:eastAsia="Calibri" w:hAnsi="Calibri"/>
          <w:b/>
          <w:bCs/>
          <w:color w:val="14161B"/>
          <w:sz w:val="20"/>
          <w:szCs w:val="20"/>
        </w:rPr>
        <w:t xml:space="preserve">Assignment or licence is a real decision</w:t>
      </w:r>
    </w:p>
    <w:p>
      <w:pPr>
        <w:spacing w:after="60" w:line="264"/>
        <w:jc w:val="both"/>
      </w:pPr>
      <w:r>
        <w:rPr>
          <w:rFonts w:ascii="Calibri" w:cs="Calibri" w:eastAsia="Calibri" w:hAnsi="Calibri"/>
          <w:sz w:val="19"/>
          <w:szCs w:val="19"/>
        </w:rPr>
        <w:t xml:space="preserve">A client paying bespoke rates usually expects to own the deliverables. A supplier building on its own product or methodology cannot assign it without destroying its business. Clause 6.4 is the usual reconciliation: assign what was made for this client, retain the tools and know-how. Decide it deliberately.</w:t>
      </w:r>
    </w:p>
    <w:p>
      <w:pPr>
        <w:keepNext/>
        <w:spacing w:after="40" w:before="140"/>
      </w:pPr>
      <w:r>
        <w:rPr>
          <w:rFonts w:ascii="Calibri" w:cs="Calibri" w:eastAsia="Calibri" w:hAnsi="Calibri"/>
          <w:b/>
          <w:bCs/>
          <w:color w:val="14161B"/>
          <w:sz w:val="20"/>
          <w:szCs w:val="20"/>
        </w:rPr>
        <w:t xml:space="preserve">Watch open source in deliverables</w:t>
      </w:r>
    </w:p>
    <w:p>
      <w:pPr>
        <w:spacing w:after="60" w:line="264"/>
        <w:jc w:val="both"/>
      </w:pPr>
      <w:r>
        <w:rPr>
          <w:rFonts w:ascii="Calibri" w:cs="Calibri" w:eastAsia="Calibri" w:hAnsi="Calibri"/>
          <w:sz w:val="19"/>
          <w:szCs w:val="19"/>
        </w:rPr>
        <w:t xml:space="preserve">Copyleft licences can require source disclosure of derived works, which is a serious problem for a client who thought they were buying proprietary software. Clause 6.5 requires identification and consent. Ask what is in the stack before, not after.</w:t>
      </w:r>
    </w:p>
    <w:p>
      <w:pPr>
        <w:keepNext/>
        <w:spacing w:after="40" w:before="140"/>
      </w:pPr>
      <w:r>
        <w:rPr>
          <w:rFonts w:ascii="Calibri" w:cs="Calibri" w:eastAsia="Calibri" w:hAnsi="Calibri"/>
          <w:b/>
          <w:bCs/>
          <w:color w:val="14161B"/>
          <w:sz w:val="20"/>
          <w:szCs w:val="20"/>
        </w:rPr>
        <w:t xml:space="preserve">Client dependencies protect the supplier</w:t>
      </w:r>
    </w:p>
    <w:p>
      <w:pPr>
        <w:spacing w:after="60" w:line="264"/>
        <w:jc w:val="both"/>
      </w:pPr>
      <w:r>
        <w:rPr>
          <w:rFonts w:ascii="Calibri" w:cs="Calibri" w:eastAsia="Calibri" w:hAnsi="Calibri"/>
          <w:sz w:val="19"/>
          <w:szCs w:val="19"/>
        </w:rPr>
        <w:t xml:space="preserve">Most delays in services engagements are caused by the client — late data, unavailable people, decisions that take weeks. Clause 3.2 and the SOW dependencies row convert that from a supplier failure into a documented extension.</w:t>
      </w:r>
    </w:p>
    <w:p>
      <w:pPr>
        <w:keepNext/>
        <w:spacing w:after="40" w:before="140"/>
      </w:pPr>
      <w:r>
        <w:rPr>
          <w:rFonts w:ascii="Calibri" w:cs="Calibri" w:eastAsia="Calibri" w:hAnsi="Calibri"/>
          <w:b/>
          <w:bCs/>
          <w:color w:val="14161B"/>
          <w:sz w:val="20"/>
          <w:szCs w:val="20"/>
        </w:rPr>
        <w:t xml:space="preserve">Deemed acceptance keeps projects moving</w:t>
      </w:r>
    </w:p>
    <w:p>
      <w:pPr>
        <w:spacing w:after="60" w:line="264"/>
        <w:jc w:val="both"/>
      </w:pPr>
      <w:r>
        <w:rPr>
          <w:rFonts w:ascii="Calibri" w:cs="Calibri" w:eastAsia="Calibri" w:hAnsi="Calibri"/>
          <w:sz w:val="19"/>
          <w:szCs w:val="19"/>
        </w:rPr>
        <w:t xml:space="preserve">Without a deemed acceptance mechanism, a client that never formally accepts can defer payment indefinitely while continuing to use the deliverable. Ten business days with written reasons for rejection is a reasonable balance.</w:t>
      </w:r>
    </w:p>
    <w:p>
      <w:pPr>
        <w:keepNext/>
        <w:spacing w:after="40" w:before="140"/>
      </w:pPr>
      <w:r>
        <w:rPr>
          <w:rFonts w:ascii="Calibri" w:cs="Calibri" w:eastAsia="Calibri" w:hAnsi="Calibri"/>
          <w:b/>
          <w:bCs/>
          <w:color w:val="14161B"/>
          <w:sz w:val="20"/>
          <w:szCs w:val="20"/>
        </w:rPr>
        <w:t xml:space="preserve">The liability carve-outs are the real negotiation</w:t>
      </w:r>
    </w:p>
    <w:p>
      <w:pPr>
        <w:spacing w:after="60" w:line="264"/>
        <w:jc w:val="both"/>
      </w:pPr>
      <w:r>
        <w:rPr>
          <w:rFonts w:ascii="Calibri" w:cs="Calibri" w:eastAsia="Calibri" w:hAnsi="Calibri"/>
          <w:sz w:val="19"/>
          <w:szCs w:val="19"/>
        </w:rPr>
        <w:t xml:space="preserve">A cap at twelve months’ fees is standard. Whether confidentiality breach, data protection breach and the IP indemnity sit inside or outside it is the point that matters, because those are the exposures that can dwarf the contract value. Clause 8.6 flags it rather than assuming an answer.</w:t>
      </w:r>
    </w:p>
    <w:p>
      <w:pPr>
        <w:keepNext/>
        <w:spacing w:after="40" w:before="140"/>
      </w:pPr>
      <w:r>
        <w:rPr>
          <w:rFonts w:ascii="Calibri" w:cs="Calibri" w:eastAsia="Calibri" w:hAnsi="Calibri"/>
          <w:b/>
          <w:bCs/>
          <w:color w:val="14161B"/>
          <w:sz w:val="20"/>
          <w:szCs w:val="20"/>
        </w:rPr>
        <w:t xml:space="preserve">Exclude consequential loss, but understand what is excluded</w:t>
      </w:r>
    </w:p>
    <w:p>
      <w:pPr>
        <w:spacing w:after="60" w:line="264"/>
        <w:jc w:val="both"/>
      </w:pPr>
      <w:r>
        <w:rPr>
          <w:rFonts w:ascii="Calibri" w:cs="Calibri" w:eastAsia="Calibri" w:hAnsi="Calibri"/>
          <w:sz w:val="19"/>
          <w:szCs w:val="19"/>
        </w:rPr>
        <w:t xml:space="preserve">Loss of profit and loss of business are excluded in Clause 8.4. For a client whose loss from a failed engagement would be almost entirely lost profit, that exclusion removes most of the meaningful remedy. Worth noticing before signing rather than after.</w:t>
      </w:r>
    </w:p>
    <w:p>
      <w:pPr>
        <w:keepNext/>
        <w:spacing w:after="40" w:before="140"/>
      </w:pPr>
      <w:r>
        <w:rPr>
          <w:rFonts w:ascii="Calibri" w:cs="Calibri" w:eastAsia="Calibri" w:hAnsi="Calibri"/>
          <w:b/>
          <w:bCs/>
          <w:color w:val="14161B"/>
          <w:sz w:val="20"/>
          <w:szCs w:val="20"/>
        </w:rPr>
        <w:t xml:space="preserve">Check the insurance actually exists</w:t>
      </w:r>
    </w:p>
    <w:p>
      <w:pPr>
        <w:spacing w:after="60" w:line="264"/>
        <w:jc w:val="both"/>
      </w:pPr>
      <w:r>
        <w:rPr>
          <w:rFonts w:ascii="Calibri" w:cs="Calibri" w:eastAsia="Calibri" w:hAnsi="Calibri"/>
          <w:sz w:val="19"/>
          <w:szCs w:val="19"/>
        </w:rPr>
        <w:t xml:space="preserve">Clause 8.8 requires evidence on request. Request it, and check the level against the liability cap and the nature of the work. A supplier with a professional indemnity limit below the cap cannot meet a claim at the cap.</w:t>
      </w:r>
    </w:p>
    <w:p>
      <w:pPr>
        <w:keepNext/>
        <w:spacing w:after="40" w:before="140"/>
      </w:pPr>
      <w:r>
        <w:rPr>
          <w:rFonts w:ascii="Calibri" w:cs="Calibri" w:eastAsia="Calibri" w:hAnsi="Calibri"/>
          <w:b/>
          <w:bCs/>
          <w:color w:val="14161B"/>
          <w:sz w:val="20"/>
          <w:szCs w:val="20"/>
        </w:rPr>
        <w:t xml:space="preserve">GST is charged in addition</w:t>
      </w:r>
    </w:p>
    <w:p>
      <w:pPr>
        <w:spacing w:after="60" w:line="264"/>
        <w:jc w:val="both"/>
      </w:pPr>
      <w:r>
        <w:rPr>
          <w:rFonts w:ascii="Calibri" w:cs="Calibri" w:eastAsia="Calibri" w:hAnsi="Calibri"/>
          <w:sz w:val="19"/>
          <w:szCs w:val="19"/>
        </w:rPr>
        <w:t xml:space="preserve">State it expressly, at 9 per cent, and require a valid tax invoice with the required particulars — the client needs it to claim input tax. Fees quoted without specifying GST treatment produce an argument at the first invoice.</w:t>
      </w:r>
    </w:p>
    <w:p>
      <w:pPr>
        <w:keepNext/>
        <w:spacing w:after="40" w:before="140"/>
      </w:pPr>
      <w:r>
        <w:rPr>
          <w:rFonts w:ascii="Calibri" w:cs="Calibri" w:eastAsia="Calibri" w:hAnsi="Calibri"/>
          <w:b/>
          <w:bCs/>
          <w:color w:val="14161B"/>
          <w:sz w:val="20"/>
          <w:szCs w:val="20"/>
        </w:rPr>
        <w:t xml:space="preserve">Withholding tax on cross-border payments</w:t>
      </w:r>
    </w:p>
    <w:p>
      <w:pPr>
        <w:spacing w:after="60" w:line="264"/>
        <w:jc w:val="both"/>
      </w:pPr>
      <w:r>
        <w:rPr>
          <w:rFonts w:ascii="Calibri" w:cs="Calibri" w:eastAsia="Calibri" w:hAnsi="Calibri"/>
          <w:sz w:val="19"/>
          <w:szCs w:val="19"/>
        </w:rPr>
        <w:t xml:space="preserve">Where the supplier is outside Singapore, withholding tax may apply to certain payments. Clause 5.8 requires the gross-up position to be settled. Silence means it is discovered at the first payment, usually by the supplier receiving less than expected.</w:t>
      </w:r>
    </w:p>
    <w:p>
      <w:pPr>
        <w:keepNext/>
        <w:spacing w:after="40" w:before="140"/>
      </w:pPr>
      <w:r>
        <w:rPr>
          <w:rFonts w:ascii="Calibri" w:cs="Calibri" w:eastAsia="Calibri" w:hAnsi="Calibri"/>
          <w:b/>
          <w:bCs/>
          <w:color w:val="14161B"/>
          <w:sz w:val="20"/>
          <w:szCs w:val="20"/>
        </w:rPr>
        <w:t xml:space="preserve">Non-solicitation must be reasonable</w:t>
      </w:r>
    </w:p>
    <w:p>
      <w:pPr>
        <w:spacing w:after="60" w:line="264"/>
        <w:jc w:val="both"/>
      </w:pPr>
      <w:r>
        <w:rPr>
          <w:rFonts w:ascii="Calibri" w:cs="Calibri" w:eastAsia="Calibri" w:hAnsi="Calibri"/>
          <w:sz w:val="19"/>
          <w:szCs w:val="19"/>
        </w:rPr>
        <w:t xml:space="preserve">Clause 10.1 restrains hiring the other side’s people. Restraints in Singapore are enforceable only so far as reasonable, and an over-broad one fails entirely rather than being narrowed. Six to twelve months, limited to people materially involved, is defensible; a blanket restriction on the whole organisation is not.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GST rate, tax invoice requirements, PDPA obligations, the enforceability of restraints and the Contracts (Rights of Third Parties) Act 2001 all change — have this agreement reviewed by a lawyer for any material engagement, and take advice on the IP and liability provisions specifically.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2026-08-22T06:55:30.970Z</dcterms:created>
  <dcterms:modified xsi:type="dcterms:W3CDTF">2026-08-22T06:55:30.970Z</dcterms:modified>
</cp:coreProperties>
</file>

<file path=docProps/custom.xml><?xml version="1.0" encoding="utf-8"?>
<Properties xmlns="http://schemas.openxmlformats.org/officeDocument/2006/custom-properties" xmlns:vt="http://schemas.openxmlformats.org/officeDocument/2006/docPropsVTypes"/>
</file>