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LOAN AGREEMENT</w:t>
      </w:r>
    </w:p>
    <w:p>
      <w:pPr>
        <w:spacing w:after="260"/>
        <w:jc w:val="center"/>
      </w:pPr>
      <w:r>
        <w:rPr>
          <w:rFonts w:ascii="Calibri" w:cs="Calibri" w:eastAsia="Calibri" w:hAnsi="Calibri"/>
          <w:i/>
          <w:iCs/>
          <w:color w:val="6E7480"/>
          <w:sz w:val="19"/>
          <w:szCs w:val="19"/>
        </w:rPr>
        <w:t xml:space="preserve">Term loan between </w:t>
      </w:r>
      <w:r>
        <w:rPr>
          <w:rFonts w:ascii="Calibri" w:cs="Calibri" w:eastAsia="Calibri" w:hAnsi="Calibri"/>
          <w:b/>
          <w:bCs/>
          <w:i/>
          <w:iCs/>
          <w:color w:val="6E7480"/>
          <w:sz w:val="19"/>
          <w:szCs w:val="19"/>
        </w:rPr>
        <w:t xml:space="preserve">[LENDER]</w:t>
      </w:r>
      <w:r>
        <w:rPr>
          <w:rFonts w:ascii="Calibri" w:cs="Calibri" w:eastAsia="Calibri" w:hAnsi="Calibri"/>
          <w:i/>
          <w:iCs/>
          <w:color w:val="6E7480"/>
          <w:sz w:val="19"/>
          <w:szCs w:val="19"/>
        </w:rPr>
        <w:t xml:space="preserve"> and </w:t>
      </w:r>
      <w:r>
        <w:rPr>
          <w:rFonts w:ascii="Calibri" w:cs="Calibri" w:eastAsia="Calibri" w:hAnsi="Calibri"/>
          <w:b/>
          <w:bCs/>
          <w:i/>
          <w:iCs/>
          <w:color w:val="6E7480"/>
          <w:sz w:val="19"/>
          <w:szCs w:val="19"/>
        </w:rPr>
        <w:t xml:space="preserve">[BORROWER]</w:t>
      </w:r>
    </w:p>
    <w:p>
      <w:pPr>
        <w:spacing w:after="180" w:before="0" w:line="276"/>
        <w:jc w:val="both"/>
      </w:pPr>
      <w:r>
        <w:rPr>
          <w:rFonts w:ascii="Calibri" w:cs="Calibri" w:eastAsia="Calibri" w:hAnsi="Calibri"/>
          <w:i/>
          <w:iCs/>
          <w:color w:val="6E7480"/>
          <w:sz w:val="21"/>
          <w:szCs w:val="21"/>
        </w:rPr>
        <w:t xml:space="preserve">Before drafting anything, check whether the lender needs a licence. Lending money in Singapore in the course of a moneylending business generally requires a licence, and an unlicensed moneylending contract is </w:t>
      </w:r>
      <w:r>
        <w:rPr>
          <w:rFonts w:ascii="Calibri" w:cs="Calibri" w:eastAsia="Calibri" w:hAnsi="Calibri"/>
          <w:b/>
          <w:bCs/>
          <w:i/>
          <w:iCs/>
          <w:color w:val="6E7480"/>
          <w:sz w:val="21"/>
          <w:szCs w:val="21"/>
        </w:rPr>
        <w:t xml:space="preserve">unenforceable</w:t>
      </w:r>
      <w:r>
        <w:rPr>
          <w:rFonts w:ascii="Calibri" w:cs="Calibri" w:eastAsia="Calibri" w:hAnsi="Calibri"/>
          <w:i/>
          <w:iCs/>
          <w:color w:val="6E7480"/>
          <w:sz w:val="21"/>
          <w:szCs w:val="21"/>
        </w:rPr>
        <w:t xml:space="preserve">. Excluded and exempt categories exist — loans to companies among them — but they are defined, not assumed.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Lender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[UEN / NRIC]</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Borrower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[UEN / NRIC]</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Is the lender licensed or exempt?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[State the basis — see Section 1]</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Principal</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 </w:t>
            </w:r>
            <w:r>
              <w:rPr>
                <w:rFonts w:ascii="Calibri" w:cs="Calibri" w:eastAsia="Calibri" w:hAnsi="Calibri"/>
                <w:b/>
                <w:bCs/>
                <w:sz w:val="19"/>
                <w:szCs w:val="19"/>
              </w:rPr>
              <w:t xml:space="preserve">[AMOUNT]</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Purpose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Interest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[RATE]</w:t>
            </w:r>
            <w:r>
              <w:rPr>
                <w:rFonts w:ascii="Calibri" w:cs="Calibri" w:eastAsia="Calibri" w:hAnsi="Calibri"/>
                <w:sz w:val="19"/>
                <w:szCs w:val="19"/>
              </w:rPr>
              <w:t xml:space="preserve"> per cent per annum, </w:t>
            </w:r>
            <w:r>
              <w:rPr>
                <w:rFonts w:ascii="Calibri" w:cs="Calibri" w:eastAsia="Calibri" w:hAnsi="Calibri"/>
                <w:b/>
                <w:bCs/>
                <w:sz w:val="19"/>
                <w:szCs w:val="19"/>
              </w:rPr>
              <w:t xml:space="preserve">[fixed / floating]</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Repayment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[Bullet on maturity / Equal monthly instalments / Interest only then bullet]</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Drawdown date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  Maturity: </w:t>
            </w:r>
            <w:r>
              <w:rPr>
                <w:rFonts w:ascii="Calibri" w:cs="Calibri" w:eastAsia="Calibri" w:hAnsi="Calibri"/>
                <w:b/>
                <w:bCs/>
                <w:sz w:val="19"/>
                <w:szCs w:val="19"/>
              </w:rPr>
              <w:t xml:space="preserve">[DATE]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Security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[None / Charge over ______ / Personal guarantee by ______]</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Charge registration due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 where a registrable charge is created</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Governing law</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Singapore</w:t>
            </w:r>
          </w:p>
        </w:tc>
      </w:tr>
    </w:tbl>
    <w:p>
      <w:pPr>
        <w:spacing w:after="180"/>
      </w:pPr>
    </w:p>
    <w:p>
      <w:pPr>
        <w:keepNext/>
        <w:spacing w:after="120" w:before="280"/>
        <w:outlineLvl w:val="0"/>
      </w:pPr>
      <w:r>
        <w:rPr>
          <w:rFonts w:ascii="Calibri" w:cs="Calibri" w:eastAsia="Calibri" w:hAnsi="Calibri"/>
          <w:b/>
          <w:bCs/>
          <w:color w:val="14161B"/>
          <w:sz w:val="22"/>
          <w:szCs w:val="22"/>
        </w:rPr>
        <w:t xml:space="preserve">1. LICENSING — CHECK FIRST</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A person who carries on the business of moneylending in Singapore generally requires a licence under the Moneylenders Act. </w:t>
      </w:r>
      <w:r>
        <w:rPr>
          <w:rFonts w:ascii="Calibri" w:cs="Calibri" w:eastAsia="Calibri" w:hAnsi="Calibri"/>
          <w:b/>
          <w:bCs/>
          <w:sz w:val="21"/>
          <w:szCs w:val="21"/>
        </w:rPr>
        <w:t xml:space="preserve">A contract made by an unlicensed moneylender is unenforceable</w:t>
      </w:r>
      <w:r>
        <w:rPr>
          <w:rFonts w:ascii="Calibri" w:cs="Calibri" w:eastAsia="Calibri" w:hAnsi="Calibri"/>
          <w:sz w:val="21"/>
          <w:szCs w:val="21"/>
        </w:rPr>
        <w:t xml:space="preserve">, and the lender may commit an offence.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084"/>
        <w:gridCol w:w="2505"/>
        <w:gridCol w:w="4049"/>
      </w:tblGrid>
      <w:tr>
        <w:trPr>
          <w:tblHeader/>
        </w:trPr>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Situation</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Position</w:t>
            </w:r>
          </w:p>
        </w:tc>
        <w:tc>
          <w:tcPr>
            <w:tcW w:type="dxa" w:w="40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Bank or licensed finance company lending</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Regulated separately</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Outside the moneylending regime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Loan to a company</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Generally excluded</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common and legitimate basis — confirm the current scope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Loan by a company to its own employee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[Confirm]</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Check the specific exclusion and any director-loan restrictions</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Shareholder or director lending to their own company</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[Generally excluded]</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Confirm; document it properly regardless</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One-off loan between individuals, no business of lending</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[Depends]</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Carrying on a </w:t>
            </w:r>
            <w:r>
              <w:rPr>
                <w:rFonts w:ascii="Calibri" w:cs="Calibri" w:eastAsia="Calibri" w:hAnsi="Calibri"/>
                <w:i/>
                <w:iCs/>
                <w:sz w:val="17"/>
                <w:szCs w:val="17"/>
              </w:rPr>
              <w:t xml:space="preserve">business</w:t>
            </w:r>
            <w:r>
              <w:rPr>
                <w:rFonts w:ascii="Calibri" w:cs="Calibri" w:eastAsia="Calibri" w:hAnsi="Calibri"/>
                <w:sz w:val="17"/>
                <w:szCs w:val="17"/>
              </w:rPr>
              <w:t xml:space="preserve"> of moneylending is the test — a genuine one-off differs from a pattern</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Lending to individuals at interest, repeatedly</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Licence likely required</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This is the core of the regime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Intercompany loan within a group</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[Generally excluded]</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Confirm; consider transfer pricing and withholding tax</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Convertible loan to a startup</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[Depends on the parties]</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To a company, generally outside; take advice</w:t>
            </w:r>
          </w:p>
        </w:tc>
      </w:tr>
    </w:tbl>
    <w:p>
      <w:pPr>
        <w:spacing w:after="140"/>
      </w:pP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i/>
          <w:iCs/>
          <w:sz w:val="21"/>
          <w:szCs w:val="21"/>
        </w:rPr>
        <w:t xml:space="preserve">Do not proceed on an assumption. Confirm the position before advancing funds — the consequence of getting it wrong is that the lender cannot recover the loan at all.</w:t>
      </w:r>
    </w:p>
    <w:p>
      <w:pPr>
        <w:keepNext/>
        <w:spacing w:after="120" w:before="280"/>
        <w:outlineLvl w:val="0"/>
      </w:pPr>
      <w:r>
        <w:rPr>
          <w:rFonts w:ascii="Calibri" w:cs="Calibri" w:eastAsia="Calibri" w:hAnsi="Calibri"/>
          <w:b/>
          <w:bCs/>
          <w:color w:val="14161B"/>
          <w:sz w:val="22"/>
          <w:szCs w:val="22"/>
        </w:rPr>
        <w:t xml:space="preserve">2. THE LOAN</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Lender agrees to lend and the Borrower agrees to borrow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 (the "</w:t>
      </w:r>
      <w:r>
        <w:rPr>
          <w:rFonts w:ascii="Calibri" w:cs="Calibri" w:eastAsia="Calibri" w:hAnsi="Calibri"/>
          <w:b/>
          <w:bCs/>
          <w:sz w:val="21"/>
          <w:szCs w:val="21"/>
        </w:rPr>
        <w:t xml:space="preserve">Loan</w:t>
      </w:r>
      <w:r>
        <w:rPr>
          <w:rFonts w:ascii="Calibri" w:cs="Calibri" w:eastAsia="Calibri" w:hAnsi="Calibri"/>
          <w:sz w:val="21"/>
          <w:szCs w:val="21"/>
        </w:rPr>
        <w:t xml:space="preserve">") on the terms of this agreement.</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The Loan shall be advanced on </w:t>
      </w:r>
      <w:r>
        <w:rPr>
          <w:rFonts w:ascii="Calibri" w:cs="Calibri" w:eastAsia="Calibri" w:hAnsi="Calibri"/>
          <w:b/>
          <w:bCs/>
          <w:sz w:val="21"/>
          <w:szCs w:val="21"/>
        </w:rPr>
        <w:t xml:space="preserve">[DATE]</w:t>
      </w:r>
      <w:r>
        <w:rPr>
          <w:rFonts w:ascii="Calibri" w:cs="Calibri" w:eastAsia="Calibri" w:hAnsi="Calibri"/>
          <w:sz w:val="21"/>
          <w:szCs w:val="21"/>
        </w:rPr>
        <w:t xml:space="preserve"> by transfer to the Borrower’s account at </w:t>
      </w:r>
      <w:r>
        <w:rPr>
          <w:rFonts w:ascii="Calibri" w:cs="Calibri" w:eastAsia="Calibri" w:hAnsi="Calibri"/>
          <w:b/>
          <w:bCs/>
          <w:sz w:val="21"/>
          <w:szCs w:val="21"/>
        </w:rPr>
        <w:t xml:space="preserve">[BANK]</w:t>
      </w:r>
      <w:r>
        <w:rPr>
          <w:rFonts w:ascii="Calibri" w:cs="Calibri" w:eastAsia="Calibri" w:hAnsi="Calibri"/>
          <w:sz w:val="21"/>
          <w:szCs w:val="21"/>
        </w:rPr>
        <w:t xml:space="preserve">, account </w:t>
      </w:r>
      <w:r>
        <w:rPr>
          <w:rFonts w:ascii="Calibri" w:cs="Calibri" w:eastAsia="Calibri" w:hAnsi="Calibri"/>
          <w:b/>
          <w:bCs/>
          <w:sz w:val="21"/>
          <w:szCs w:val="21"/>
        </w:rPr>
        <w:t xml:space="preserve">[NUMBER]</w:t>
      </w:r>
      <w:r>
        <w:rPr>
          <w:rFonts w:ascii="Calibri" w:cs="Calibri" w:eastAsia="Calibri" w:hAnsi="Calibri"/>
          <w:sz w:val="21"/>
          <w:szCs w:val="21"/>
        </w:rPr>
        <w:t xml:space="preserve">, subject to the conditions in Clause 3 having been satisfied.</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The Borrower shall use the Loan </w:t>
      </w:r>
      <w:r>
        <w:rPr>
          <w:rFonts w:ascii="Calibri" w:cs="Calibri" w:eastAsia="Calibri" w:hAnsi="Calibri"/>
          <w:b/>
          <w:bCs/>
          <w:sz w:val="21"/>
          <w:szCs w:val="21"/>
        </w:rPr>
        <w:t xml:space="preserve">only for </w:t>
      </w:r>
      <w:r>
        <w:rPr>
          <w:rFonts w:ascii="Calibri" w:cs="Calibri" w:eastAsia="Calibri" w:hAnsi="Calibri"/>
          <w:b/>
          <w:bCs/>
          <w:sz w:val="21"/>
          <w:szCs w:val="21"/>
        </w:rPr>
        <w:t xml:space="preserve">[THE STATED PURPOSE]</w:t>
      </w:r>
      <w:r>
        <w:rPr>
          <w:rFonts w:ascii="Calibri" w:cs="Calibri" w:eastAsia="Calibri" w:hAnsi="Calibri"/>
          <w:sz w:val="21"/>
          <w:szCs w:val="21"/>
        </w:rPr>
        <w:t xml:space="preserve"> and shall provide evidence of application on request.</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b/>
          <w:bCs/>
          <w:sz w:val="21"/>
          <w:szCs w:val="21"/>
        </w:rPr>
        <w:t xml:space="preserve">[Where drawdown is in tranches]</w:t>
      </w:r>
      <w:r>
        <w:rPr>
          <w:rFonts w:ascii="Calibri" w:cs="Calibri" w:eastAsia="Calibri" w:hAnsi="Calibri"/>
          <w:sz w:val="21"/>
          <w:szCs w:val="21"/>
        </w:rPr>
        <w:t xml:space="preserve"> The Loan may be drawn in tranches of not less than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 on </w:t>
      </w:r>
      <w:r>
        <w:rPr>
          <w:rFonts w:ascii="Calibri" w:cs="Calibri" w:eastAsia="Calibri" w:hAnsi="Calibri"/>
          <w:b/>
          <w:bCs/>
          <w:sz w:val="21"/>
          <w:szCs w:val="21"/>
        </w:rPr>
        <w:t xml:space="preserve">[5]</w:t>
      </w:r>
      <w:r>
        <w:rPr>
          <w:rFonts w:ascii="Calibri" w:cs="Calibri" w:eastAsia="Calibri" w:hAnsi="Calibri"/>
          <w:sz w:val="21"/>
          <w:szCs w:val="21"/>
        </w:rPr>
        <w:t xml:space="preserve"> business days notice, subject to the conditions being satisfied at the time of each drawing.</w:t>
      </w:r>
    </w:p>
    <w:p>
      <w:pPr>
        <w:keepNext/>
        <w:spacing w:after="120" w:before="280"/>
        <w:outlineLvl w:val="0"/>
      </w:pPr>
      <w:r>
        <w:rPr>
          <w:rFonts w:ascii="Calibri" w:cs="Calibri" w:eastAsia="Calibri" w:hAnsi="Calibri"/>
          <w:b/>
          <w:bCs/>
          <w:color w:val="14161B"/>
          <w:sz w:val="22"/>
          <w:szCs w:val="22"/>
        </w:rPr>
        <w:t xml:space="preserve">3. CONDITIONS PRECEDENT</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Lender is not obliged to advance the Loan until it has received, in form and substance satisfactory to it:</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this agreement duly executed;</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a certified copy of the Borrower’s constitution and business profile;</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a certified copy of the board resolution approving the borrowing and, where required, the members’ resolution;</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b/>
          <w:bCs/>
          <w:sz w:val="21"/>
          <w:szCs w:val="21"/>
        </w:rPr>
        <w:t xml:space="preserve">[the security documents duly executed, and evidence that any registrable charge will be lodged within the prescribed period]</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b/>
          <w:bCs/>
          <w:sz w:val="21"/>
          <w:szCs w:val="21"/>
        </w:rPr>
        <w:t xml:space="preserve">[any guarantee duly executed, with evidence that the guarantor has taken independent advice]</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the Borrower’s most recent financial statements and management accounts; and</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sz w:val="21"/>
          <w:szCs w:val="21"/>
        </w:rPr>
        <w:t xml:space="preserve">identification and verification documents for the Borrower and its controllers.</w:t>
      </w:r>
    </w:p>
    <w:p>
      <w:pPr>
        <w:keepNext/>
        <w:spacing w:after="120" w:before="280"/>
        <w:outlineLvl w:val="0"/>
      </w:pPr>
      <w:r>
        <w:rPr>
          <w:rFonts w:ascii="Calibri" w:cs="Calibri" w:eastAsia="Calibri" w:hAnsi="Calibri"/>
          <w:b/>
          <w:bCs/>
          <w:color w:val="14161B"/>
          <w:sz w:val="22"/>
          <w:szCs w:val="22"/>
        </w:rPr>
        <w:t xml:space="preserve">4. INTEREST</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Interest accrues on the outstanding principal at </w:t>
      </w:r>
      <w:r>
        <w:rPr>
          <w:rFonts w:ascii="Calibri" w:cs="Calibri" w:eastAsia="Calibri" w:hAnsi="Calibri"/>
          <w:b/>
          <w:bCs/>
          <w:sz w:val="21"/>
          <w:szCs w:val="21"/>
        </w:rPr>
        <w:t xml:space="preserve">[RATE]</w:t>
      </w:r>
      <w:r>
        <w:rPr>
          <w:rFonts w:ascii="Calibri" w:cs="Calibri" w:eastAsia="Calibri" w:hAnsi="Calibri"/>
          <w:sz w:val="21"/>
          <w:szCs w:val="21"/>
        </w:rPr>
        <w:t xml:space="preserve"> per cent per annum, calculated on the basis of a </w:t>
      </w:r>
      <w:r>
        <w:rPr>
          <w:rFonts w:ascii="Calibri" w:cs="Calibri" w:eastAsia="Calibri" w:hAnsi="Calibri"/>
          <w:b/>
          <w:bCs/>
          <w:sz w:val="21"/>
          <w:szCs w:val="21"/>
        </w:rPr>
        <w:t xml:space="preserve">[365]</w:t>
      </w:r>
      <w:r>
        <w:rPr>
          <w:rFonts w:ascii="Calibri" w:cs="Calibri" w:eastAsia="Calibri" w:hAnsi="Calibri"/>
          <w:sz w:val="21"/>
          <w:szCs w:val="21"/>
        </w:rPr>
        <w:t xml:space="preserve">-day year and the actual days elapsed.</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Interest is payable </w:t>
      </w:r>
      <w:r>
        <w:rPr>
          <w:rFonts w:ascii="Calibri" w:cs="Calibri" w:eastAsia="Calibri" w:hAnsi="Calibri"/>
          <w:b/>
          <w:bCs/>
          <w:sz w:val="21"/>
          <w:szCs w:val="21"/>
        </w:rPr>
        <w:t xml:space="preserve">[monthly / quarterly]</w:t>
      </w:r>
      <w:r>
        <w:rPr>
          <w:rFonts w:ascii="Calibri" w:cs="Calibri" w:eastAsia="Calibri" w:hAnsi="Calibri"/>
          <w:sz w:val="21"/>
          <w:szCs w:val="21"/>
        </w:rPr>
        <w:t xml:space="preserve"> in arrears on the </w:t>
      </w:r>
      <w:r>
        <w:rPr>
          <w:rFonts w:ascii="Calibri" w:cs="Calibri" w:eastAsia="Calibri" w:hAnsi="Calibri"/>
          <w:b/>
          <w:bCs/>
          <w:sz w:val="21"/>
          <w:szCs w:val="21"/>
        </w:rPr>
        <w:t xml:space="preserve">[LAST]</w:t>
      </w:r>
      <w:r>
        <w:rPr>
          <w:rFonts w:ascii="Calibri" w:cs="Calibri" w:eastAsia="Calibri" w:hAnsi="Calibri"/>
          <w:sz w:val="21"/>
          <w:szCs w:val="21"/>
        </w:rPr>
        <w:t xml:space="preserve"> day of each period.</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b/>
          <w:bCs/>
          <w:sz w:val="21"/>
          <w:szCs w:val="21"/>
        </w:rPr>
        <w:t xml:space="preserve">Default interest.</w:t>
      </w:r>
      <w:r>
        <w:rPr>
          <w:rFonts w:ascii="Calibri" w:cs="Calibri" w:eastAsia="Calibri" w:hAnsi="Calibri"/>
          <w:sz w:val="21"/>
          <w:szCs w:val="21"/>
        </w:rPr>
        <w:t xml:space="preserve"> Where any sum is not paid when due, it carries interest at </w:t>
      </w:r>
      <w:r>
        <w:rPr>
          <w:rFonts w:ascii="Calibri" w:cs="Calibri" w:eastAsia="Calibri" w:hAnsi="Calibri"/>
          <w:b/>
          <w:bCs/>
          <w:sz w:val="21"/>
          <w:szCs w:val="21"/>
        </w:rPr>
        <w:t xml:space="preserve">[RATE]</w:t>
      </w:r>
      <w:r>
        <w:rPr>
          <w:rFonts w:ascii="Calibri" w:cs="Calibri" w:eastAsia="Calibri" w:hAnsi="Calibri"/>
          <w:sz w:val="21"/>
          <w:szCs w:val="21"/>
        </w:rPr>
        <w:t xml:space="preserve"> per cent per annum from the due date until payment.</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i/>
          <w:iCs/>
          <w:sz w:val="21"/>
          <w:szCs w:val="21"/>
        </w:rPr>
        <w:t xml:space="preserve">Default interest must be a genuine pre-estimate of the lender’s loss or otherwise commercially justifiable. A punitive rate risks being unenforceable as a penalty — keep the uplift modest.</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b/>
          <w:bCs/>
          <w:sz w:val="21"/>
          <w:szCs w:val="21"/>
        </w:rPr>
        <w:t xml:space="preserve">[Where withholding tax applies]</w:t>
      </w:r>
      <w:r>
        <w:rPr>
          <w:rFonts w:ascii="Calibri" w:cs="Calibri" w:eastAsia="Calibri" w:hAnsi="Calibri"/>
          <w:sz w:val="21"/>
          <w:szCs w:val="21"/>
        </w:rPr>
        <w:t xml:space="preserve"> Where the Borrower is required by law to withhold tax on a payment of interest to a non-resident Lender, </w:t>
      </w:r>
      <w:r>
        <w:rPr>
          <w:rFonts w:ascii="Calibri" w:cs="Calibri" w:eastAsia="Calibri" w:hAnsi="Calibri"/>
          <w:b/>
          <w:bCs/>
          <w:sz w:val="21"/>
          <w:szCs w:val="21"/>
        </w:rPr>
        <w:t xml:space="preserve">[the Borrower shall gross up so that the Lender receives the full amount / the Lender bears the withholding]</w:t>
      </w:r>
      <w:r>
        <w:rPr>
          <w:rFonts w:ascii="Calibri" w:cs="Calibri" w:eastAsia="Calibri" w:hAnsi="Calibri"/>
          <w:sz w:val="21"/>
          <w:szCs w:val="21"/>
        </w:rPr>
        <w:t xml:space="preserve">. </w:t>
      </w:r>
      <w:r>
        <w:rPr>
          <w:rFonts w:ascii="Calibri" w:cs="Calibri" w:eastAsia="Calibri" w:hAnsi="Calibri"/>
          <w:i/>
          <w:iCs/>
          <w:sz w:val="21"/>
          <w:szCs w:val="21"/>
        </w:rPr>
        <w:t xml:space="preserve">(A commercial decision — specify. Interest paid to a non-resident is a common withholding tax trigger.)</w:t>
      </w:r>
    </w:p>
    <w:p>
      <w:pPr>
        <w:keepNext/>
        <w:spacing w:after="120" w:before="280"/>
        <w:outlineLvl w:val="0"/>
      </w:pPr>
      <w:r>
        <w:rPr>
          <w:rFonts w:ascii="Calibri" w:cs="Calibri" w:eastAsia="Calibri" w:hAnsi="Calibri"/>
          <w:b/>
          <w:bCs/>
          <w:color w:val="14161B"/>
          <w:sz w:val="22"/>
          <w:szCs w:val="22"/>
        </w:rPr>
        <w:t xml:space="preserve">5. REPAYMENT AND PREPAYMENT</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The Borrower shall repay the Loan in full on the Maturity Date — </w:t>
      </w:r>
      <w:r>
        <w:rPr>
          <w:rFonts w:ascii="Calibri" w:cs="Calibri" w:eastAsia="Calibri" w:hAnsi="Calibri"/>
          <w:i/>
          <w:iCs/>
          <w:sz w:val="21"/>
          <w:szCs w:val="21"/>
        </w:rPr>
        <w:t xml:space="preserve">or in equal monthly instalments commencing on a stated date; specify which applies and complete the amounts</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The Borrower may prepay in whole or in part on </w:t>
      </w:r>
      <w:r>
        <w:rPr>
          <w:rFonts w:ascii="Calibri" w:cs="Calibri" w:eastAsia="Calibri" w:hAnsi="Calibri"/>
          <w:b/>
          <w:bCs/>
          <w:sz w:val="21"/>
          <w:szCs w:val="21"/>
        </w:rPr>
        <w:t xml:space="preserve">[5]</w:t>
      </w:r>
      <w:r>
        <w:rPr>
          <w:rFonts w:ascii="Calibri" w:cs="Calibri" w:eastAsia="Calibri" w:hAnsi="Calibri"/>
          <w:sz w:val="21"/>
          <w:szCs w:val="21"/>
        </w:rPr>
        <w:t xml:space="preserve"> business days notice, </w:t>
      </w:r>
      <w:r>
        <w:rPr>
          <w:rFonts w:ascii="Calibri" w:cs="Calibri" w:eastAsia="Calibri" w:hAnsi="Calibri"/>
          <w:b/>
          <w:bCs/>
          <w:sz w:val="21"/>
          <w:szCs w:val="21"/>
        </w:rPr>
        <w:t xml:space="preserve">[without penalty / subject to a prepayment fee of ______ per cent]</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Amounts prepaid </w:t>
      </w:r>
      <w:r>
        <w:rPr>
          <w:rFonts w:ascii="Calibri" w:cs="Calibri" w:eastAsia="Calibri" w:hAnsi="Calibri"/>
          <w:b/>
          <w:bCs/>
          <w:sz w:val="21"/>
          <w:szCs w:val="21"/>
        </w:rPr>
        <w:t xml:space="preserve">[may not be redrawn]</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Payments shall be applied first to costs, then to default interest, then to accrued interest, then to principal.</w:t>
      </w:r>
    </w:p>
    <w:p>
      <w:pPr>
        <w:spacing w:after="120" w:before="60" w:line="276"/>
        <w:ind w:left="720" w:hanging="720"/>
        <w:jc w:val="both"/>
      </w:pPr>
      <w:r>
        <w:rPr>
          <w:rFonts w:ascii="Calibri" w:cs="Calibri" w:eastAsia="Calibri" w:hAnsi="Calibri"/>
          <w:sz w:val="21"/>
          <w:szCs w:val="21"/>
        </w:rPr>
        <w:t xml:space="preserve">5.5	</w:t>
      </w:r>
      <w:r>
        <w:rPr>
          <w:rFonts w:ascii="Calibri" w:cs="Calibri" w:eastAsia="Calibri" w:hAnsi="Calibri"/>
          <w:sz w:val="21"/>
          <w:szCs w:val="21"/>
        </w:rPr>
        <w:t xml:space="preserve">All payments shall be made without deduction, set-off or counterclaim.</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6. REPRESENTATIONS AND UNDERTAKINGS</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The Borrower represents that it is duly incorporated and has power to enter into this agreement; that it has obtained all necessary approvals; that this agreement is legal, valid and binding; that no default has occurred; that the financial statements provided are accurate; and that there is no litigation or investigation likely to have a material adverse effect.</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The Borrower undertakes, while any amount is outstanding:</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to provide annual audited financial statements within </w:t>
      </w:r>
      <w:r>
        <w:rPr>
          <w:rFonts w:ascii="Calibri" w:cs="Calibri" w:eastAsia="Calibri" w:hAnsi="Calibri"/>
          <w:b/>
          <w:bCs/>
          <w:sz w:val="21"/>
          <w:szCs w:val="21"/>
        </w:rPr>
        <w:t xml:space="preserve">[120]</w:t>
      </w:r>
      <w:r>
        <w:rPr>
          <w:rFonts w:ascii="Calibri" w:cs="Calibri" w:eastAsia="Calibri" w:hAnsi="Calibri"/>
          <w:sz w:val="21"/>
          <w:szCs w:val="21"/>
        </w:rPr>
        <w:t xml:space="preserve"> days of the financial year end, and management accounts within </w:t>
      </w:r>
      <w:r>
        <w:rPr>
          <w:rFonts w:ascii="Calibri" w:cs="Calibri" w:eastAsia="Calibri" w:hAnsi="Calibri"/>
          <w:b/>
          <w:bCs/>
          <w:sz w:val="21"/>
          <w:szCs w:val="21"/>
        </w:rPr>
        <w:t xml:space="preserve">[30]</w:t>
      </w:r>
      <w:r>
        <w:rPr>
          <w:rFonts w:ascii="Calibri" w:cs="Calibri" w:eastAsia="Calibri" w:hAnsi="Calibri"/>
          <w:sz w:val="21"/>
          <w:szCs w:val="21"/>
        </w:rPr>
        <w:t xml:space="preserve"> days of each </w:t>
      </w:r>
      <w:r>
        <w:rPr>
          <w:rFonts w:ascii="Calibri" w:cs="Calibri" w:eastAsia="Calibri" w:hAnsi="Calibri"/>
          <w:b/>
          <w:bCs/>
          <w:sz w:val="21"/>
          <w:szCs w:val="21"/>
        </w:rPr>
        <w:t xml:space="preserve">[quarter]</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to notify the Lender promptly of any default, material litigation, or material adverse change;</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b/>
          <w:bCs/>
          <w:sz w:val="21"/>
          <w:szCs w:val="21"/>
        </w:rPr>
        <w:t xml:space="preserve">not to create any security</w:t>
      </w:r>
      <w:r>
        <w:rPr>
          <w:rFonts w:ascii="Calibri" w:cs="Calibri" w:eastAsia="Calibri" w:hAnsi="Calibri"/>
          <w:sz w:val="21"/>
          <w:szCs w:val="21"/>
        </w:rPr>
        <w:t xml:space="preserve"> over its assets without the Lender’s consent (negative pledge);</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not to dispose of assets outside the ordinary course above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 without consent;</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not to make distributions or repay shareholder loans while a default subsists;</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not to incur further borrowing above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 without consent;</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sz w:val="21"/>
          <w:szCs w:val="21"/>
        </w:rPr>
        <w:t xml:space="preserve">to maintain insurance appropriate to its business; and</w:t>
      </w:r>
    </w:p>
    <w:p>
      <w:pPr>
        <w:spacing w:after="100" w:before="40" w:line="276"/>
        <w:ind w:left="1440" w:hanging="720"/>
        <w:jc w:val="both"/>
      </w:pPr>
      <w:r>
        <w:rPr>
          <w:rFonts w:ascii="Calibri" w:cs="Calibri" w:eastAsia="Calibri" w:hAnsi="Calibri"/>
          <w:sz w:val="21"/>
          <w:szCs w:val="21"/>
        </w:rPr>
        <w:t xml:space="preserve">(h)	</w:t>
      </w:r>
      <w:r>
        <w:rPr>
          <w:rFonts w:ascii="Calibri" w:cs="Calibri" w:eastAsia="Calibri" w:hAnsi="Calibri"/>
          <w:b/>
          <w:bCs/>
          <w:sz w:val="21"/>
          <w:szCs w:val="21"/>
        </w:rPr>
        <w:t xml:space="preserve">[to comply with the financial covenants in Schedule 1]</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7. EVENTS OF DEFAULT</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Each of the following is an Event of Default:</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non-payment of any sum within </w:t>
      </w:r>
      <w:r>
        <w:rPr>
          <w:rFonts w:ascii="Calibri" w:cs="Calibri" w:eastAsia="Calibri" w:hAnsi="Calibri"/>
          <w:b/>
          <w:bCs/>
          <w:sz w:val="21"/>
          <w:szCs w:val="21"/>
        </w:rPr>
        <w:t xml:space="preserve">[5]</w:t>
      </w:r>
      <w:r>
        <w:rPr>
          <w:rFonts w:ascii="Calibri" w:cs="Calibri" w:eastAsia="Calibri" w:hAnsi="Calibri"/>
          <w:sz w:val="21"/>
          <w:szCs w:val="21"/>
        </w:rPr>
        <w:t xml:space="preserve"> business days of the due date;</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breach of any other obligation, not remedied within </w:t>
      </w:r>
      <w:r>
        <w:rPr>
          <w:rFonts w:ascii="Calibri" w:cs="Calibri" w:eastAsia="Calibri" w:hAnsi="Calibri"/>
          <w:b/>
          <w:bCs/>
          <w:sz w:val="21"/>
          <w:szCs w:val="21"/>
        </w:rPr>
        <w:t xml:space="preserve">[14]</w:t>
      </w:r>
      <w:r>
        <w:rPr>
          <w:rFonts w:ascii="Calibri" w:cs="Calibri" w:eastAsia="Calibri" w:hAnsi="Calibri"/>
          <w:sz w:val="21"/>
          <w:szCs w:val="21"/>
        </w:rPr>
        <w:t xml:space="preserve"> days of notice;</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a representation being materially incorrect when made;</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insolvency, or the appointment of a receiver, judicial manager or liquidator;</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cessation of business, or a change of control without the Lender’s consent;</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any security ceasing to be effective; or</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sz w:val="21"/>
          <w:szCs w:val="21"/>
        </w:rPr>
        <w:t xml:space="preserve">default under any other financial indebtedness above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 (cross-default).</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On an Event of Default the Lender may declare the Loan immediately due and payable, cancel any undrawn commitment, and enforce any security.</w:t>
      </w:r>
    </w:p>
    <w:p>
      <w:pPr>
        <w:keepNext/>
        <w:spacing w:after="120" w:before="280"/>
        <w:outlineLvl w:val="0"/>
      </w:pPr>
      <w:r>
        <w:rPr>
          <w:rFonts w:ascii="Calibri" w:cs="Calibri" w:eastAsia="Calibri" w:hAnsi="Calibri"/>
          <w:b/>
          <w:bCs/>
          <w:color w:val="14161B"/>
          <w:sz w:val="22"/>
          <w:szCs w:val="22"/>
        </w:rPr>
        <w:t xml:space="preserve">8. SECURITY</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b/>
          <w:bCs/>
          <w:sz w:val="21"/>
          <w:szCs w:val="21"/>
        </w:rPr>
        <w:t xml:space="preserve">[Where security is given]</w:t>
      </w:r>
      <w:r>
        <w:rPr>
          <w:rFonts w:ascii="Calibri" w:cs="Calibri" w:eastAsia="Calibri" w:hAnsi="Calibri"/>
          <w:sz w:val="21"/>
          <w:szCs w:val="21"/>
        </w:rPr>
        <w:t xml:space="preserve"> The Loan is secured by </w:t>
      </w:r>
      <w:r>
        <w:rPr>
          <w:rFonts w:ascii="Calibri" w:cs="Calibri" w:eastAsia="Calibri" w:hAnsi="Calibri"/>
          <w:b/>
          <w:bCs/>
          <w:sz w:val="21"/>
          <w:szCs w:val="21"/>
        </w:rPr>
        <w:t xml:space="preserve">[DESCRIBE — a debenture, a fixed charge over ______, an assignment of ______]</w:t>
      </w:r>
      <w:r>
        <w:rPr>
          <w:rFonts w:ascii="Calibri" w:cs="Calibri" w:eastAsia="Calibri" w:hAnsi="Calibri"/>
          <w:sz w:val="21"/>
          <w:szCs w:val="21"/>
        </w:rPr>
        <w:t xml:space="preserve">, in the form of the security document executed alongside this agreement.</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b/>
          <w:bCs/>
          <w:sz w:val="21"/>
          <w:szCs w:val="21"/>
        </w:rPr>
        <w:t xml:space="preserve">Any registrable charge shall be lodged with the Registrar within the prescribed period.</w:t>
      </w:r>
      <w:r>
        <w:rPr>
          <w:rFonts w:ascii="Calibri" w:cs="Calibri" w:eastAsia="Calibri" w:hAnsi="Calibri"/>
          <w:sz w:val="21"/>
          <w:szCs w:val="21"/>
        </w:rPr>
        <w:t xml:space="preserve"> </w:t>
      </w:r>
      <w:r>
        <w:rPr>
          <w:rFonts w:ascii="Calibri" w:cs="Calibri" w:eastAsia="Calibri" w:hAnsi="Calibri"/>
          <w:i/>
          <w:iCs/>
          <w:sz w:val="21"/>
          <w:szCs w:val="21"/>
        </w:rPr>
        <w:t xml:space="preserve">A registrable charge not lodged in time is void against the liquidator and creditors — the debt survives, the security does not.</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b/>
          <w:bCs/>
          <w:sz w:val="21"/>
          <w:szCs w:val="21"/>
        </w:rPr>
        <w:t xml:space="preserve">[Where a guarantee is given]</w:t>
      </w:r>
      <w:r>
        <w:rPr>
          <w:rFonts w:ascii="Calibri" w:cs="Calibri" w:eastAsia="Calibri" w:hAnsi="Calibri"/>
          <w:sz w:val="21"/>
          <w:szCs w:val="21"/>
        </w:rPr>
        <w:t xml:space="preserve"> The obligations are guaranteed by </w:t>
      </w:r>
      <w:r>
        <w:rPr>
          <w:rFonts w:ascii="Calibri" w:cs="Calibri" w:eastAsia="Calibri" w:hAnsi="Calibri"/>
          <w:b/>
          <w:bCs/>
          <w:sz w:val="21"/>
          <w:szCs w:val="21"/>
        </w:rPr>
        <w:t xml:space="preserve">[NAME]</w:t>
      </w:r>
      <w:r>
        <w:rPr>
          <w:rFonts w:ascii="Calibri" w:cs="Calibri" w:eastAsia="Calibri" w:hAnsi="Calibri"/>
          <w:sz w:val="21"/>
          <w:szCs w:val="21"/>
        </w:rPr>
        <w:t xml:space="preserve"> on the terms of the guarantee executed alongside this agreement.</w:t>
      </w:r>
    </w:p>
    <w:p>
      <w:pPr>
        <w:spacing w:after="120" w:before="60" w:line="276"/>
        <w:ind w:left="720" w:hanging="720"/>
        <w:jc w:val="both"/>
      </w:pPr>
      <w:r>
        <w:rPr>
          <w:rFonts w:ascii="Calibri" w:cs="Calibri" w:eastAsia="Calibri" w:hAnsi="Calibri"/>
          <w:sz w:val="21"/>
          <w:szCs w:val="21"/>
        </w:rPr>
        <w:t xml:space="preserve">8.4	</w:t>
      </w:r>
      <w:r>
        <w:rPr>
          <w:rFonts w:ascii="Calibri" w:cs="Calibri" w:eastAsia="Calibri" w:hAnsi="Calibri"/>
          <w:sz w:val="21"/>
          <w:szCs w:val="21"/>
        </w:rPr>
        <w:t xml:space="preserve">The Lender shall release the security promptly on repayment in full, and shall lodge a memorandum of satisfaction.</w:t>
      </w:r>
    </w:p>
    <w:p>
      <w:pPr>
        <w:keepNext/>
        <w:spacing w:after="120" w:before="280"/>
        <w:outlineLvl w:val="0"/>
      </w:pPr>
      <w:r>
        <w:rPr>
          <w:rFonts w:ascii="Calibri" w:cs="Calibri" w:eastAsia="Calibri" w:hAnsi="Calibri"/>
          <w:b/>
          <w:bCs/>
          <w:color w:val="14161B"/>
          <w:sz w:val="22"/>
          <w:szCs w:val="22"/>
        </w:rPr>
        <w:t xml:space="preserve">9. GENERAL</w:t>
      </w:r>
    </w:p>
    <w:p>
      <w:pPr>
        <w:spacing w:after="120" w:before="60" w:line="276"/>
        <w:ind w:left="720" w:hanging="720"/>
        <w:jc w:val="both"/>
      </w:pPr>
      <w:r>
        <w:rPr>
          <w:rFonts w:ascii="Calibri" w:cs="Calibri" w:eastAsia="Calibri" w:hAnsi="Calibri"/>
          <w:sz w:val="21"/>
          <w:szCs w:val="21"/>
        </w:rPr>
        <w:t xml:space="preserve">9.1	</w:t>
      </w:r>
      <w:r>
        <w:rPr>
          <w:rFonts w:ascii="Calibri" w:cs="Calibri" w:eastAsia="Calibri" w:hAnsi="Calibri"/>
          <w:sz w:val="21"/>
          <w:szCs w:val="21"/>
        </w:rPr>
        <w:t xml:space="preserve">The Borrower shall pay the Lender’s reasonable costs of preparing, and of enforcing, this agreement and any security.</w:t>
      </w:r>
    </w:p>
    <w:p>
      <w:pPr>
        <w:spacing w:after="120" w:before="60" w:line="276"/>
        <w:ind w:left="720" w:hanging="720"/>
        <w:jc w:val="both"/>
      </w:pPr>
      <w:r>
        <w:rPr>
          <w:rFonts w:ascii="Calibri" w:cs="Calibri" w:eastAsia="Calibri" w:hAnsi="Calibri"/>
          <w:sz w:val="21"/>
          <w:szCs w:val="21"/>
        </w:rPr>
        <w:t xml:space="preserve">9.2	</w:t>
      </w:r>
      <w:r>
        <w:rPr>
          <w:rFonts w:ascii="Calibri" w:cs="Calibri" w:eastAsia="Calibri" w:hAnsi="Calibri"/>
          <w:sz w:val="21"/>
          <w:szCs w:val="21"/>
        </w:rPr>
        <w:t xml:space="preserve">The Lender may assign its rights; the Borrower may not assign without consent.</w:t>
      </w:r>
    </w:p>
    <w:p>
      <w:pPr>
        <w:spacing w:after="120" w:before="60" w:line="276"/>
        <w:ind w:left="720" w:hanging="720"/>
        <w:jc w:val="both"/>
      </w:pPr>
      <w:r>
        <w:rPr>
          <w:rFonts w:ascii="Calibri" w:cs="Calibri" w:eastAsia="Calibri" w:hAnsi="Calibri"/>
          <w:sz w:val="21"/>
          <w:szCs w:val="21"/>
        </w:rPr>
        <w:t xml:space="preserve">9.3	</w:t>
      </w:r>
      <w:r>
        <w:rPr>
          <w:rFonts w:ascii="Calibri" w:cs="Calibri" w:eastAsia="Calibri" w:hAnsi="Calibri"/>
          <w:sz w:val="21"/>
          <w:szCs w:val="21"/>
        </w:rPr>
        <w:t xml:space="preserve">No failure or delay by the Lender in exercising a right operates as a waiver.</w:t>
      </w:r>
    </w:p>
    <w:p>
      <w:pPr>
        <w:spacing w:after="120" w:before="60" w:line="276"/>
        <w:ind w:left="720" w:hanging="720"/>
        <w:jc w:val="both"/>
      </w:pPr>
      <w:r>
        <w:rPr>
          <w:rFonts w:ascii="Calibri" w:cs="Calibri" w:eastAsia="Calibri" w:hAnsi="Calibri"/>
          <w:sz w:val="21"/>
          <w:szCs w:val="21"/>
        </w:rPr>
        <w:t xml:space="preserve">9.4	</w:t>
      </w:r>
      <w:r>
        <w:rPr>
          <w:rFonts w:ascii="Calibri" w:cs="Calibri" w:eastAsia="Calibri" w:hAnsi="Calibri"/>
          <w:sz w:val="21"/>
          <w:szCs w:val="21"/>
        </w:rPr>
        <w:t xml:space="preserve">A certificate by the Lender as to an amount due is prima facie evidence of that amount, save for manifest error.</w:t>
      </w:r>
    </w:p>
    <w:p>
      <w:pPr>
        <w:spacing w:after="120" w:before="60" w:line="276"/>
        <w:ind w:left="720" w:hanging="720"/>
        <w:jc w:val="both"/>
      </w:pPr>
      <w:r>
        <w:rPr>
          <w:rFonts w:ascii="Calibri" w:cs="Calibri" w:eastAsia="Calibri" w:hAnsi="Calibri"/>
          <w:sz w:val="21"/>
          <w:szCs w:val="21"/>
        </w:rPr>
        <w:t xml:space="preserve">9.5	</w:t>
      </w:r>
      <w:r>
        <w:rPr>
          <w:rFonts w:ascii="Calibri" w:cs="Calibri" w:eastAsia="Calibri" w:hAnsi="Calibri"/>
          <w:sz w:val="21"/>
          <w:szCs w:val="21"/>
        </w:rPr>
        <w:t xml:space="preserve">This is the entire agreement; no amendment is effective unless in writing and signed.</w:t>
      </w:r>
    </w:p>
    <w:p>
      <w:pPr>
        <w:spacing w:after="120" w:before="60" w:line="276"/>
        <w:ind w:left="720" w:hanging="720"/>
        <w:jc w:val="both"/>
      </w:pPr>
      <w:r>
        <w:rPr>
          <w:rFonts w:ascii="Calibri" w:cs="Calibri" w:eastAsia="Calibri" w:hAnsi="Calibri"/>
          <w:sz w:val="21"/>
          <w:szCs w:val="21"/>
        </w:rPr>
        <w:t xml:space="preserve">9.6	</w:t>
      </w:r>
      <w:r>
        <w:rPr>
          <w:rFonts w:ascii="Calibri" w:cs="Calibri" w:eastAsia="Calibri" w:hAnsi="Calibri"/>
          <w:sz w:val="21"/>
          <w:szCs w:val="21"/>
        </w:rPr>
        <w:t xml:space="preserve">This agreement is governed by the laws of Singapore and the parties submit to the exclusive jurisdiction of the Singapore courts.</w:t>
      </w:r>
    </w:p>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the Lender</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the Borrower</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 1</w:t>
      </w:r>
    </w:p>
    <w:p>
      <w:pPr>
        <w:spacing w:after="260"/>
        <w:jc w:val="center"/>
      </w:pPr>
      <w:r>
        <w:rPr>
          <w:rFonts w:ascii="Calibri" w:cs="Calibri" w:eastAsia="Calibri" w:hAnsi="Calibri"/>
          <w:i/>
          <w:iCs/>
          <w:color w:val="6E7480"/>
          <w:sz w:val="19"/>
          <w:szCs w:val="19"/>
        </w:rPr>
        <w:t xml:space="preserve">Financial Covenants and Monitoring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313"/>
        <w:gridCol w:w="2120"/>
        <w:gridCol w:w="1156"/>
        <w:gridCol w:w="1156"/>
        <w:gridCol w:w="1542"/>
        <w:gridCol w:w="1351"/>
      </w:tblGrid>
      <w:tr>
        <w:trPr>
          <w:tblHeader/>
        </w:trPr>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Covenant</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Requirement</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Tested</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First test</w:t>
            </w:r>
          </w:p>
        </w:tc>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Current position</w:t>
            </w:r>
          </w:p>
        </w:tc>
        <w:tc>
          <w:tcPr>
            <w:tcW w:type="dxa" w:w="135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Headroom</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[Leverage — net debt to EBITDA]</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 more than ______]</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[Quarterly]</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[ACTUAL]</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[Interest cover]</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 less than ______]</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[Quarterly]</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[ACTUAL]</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[Minimum tangible net worth]</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 less than S$ ______]</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[Annually]</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[ACTUAL]</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[Minimum cash balance]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 less than S$ ______]</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[Monthly]</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[ACTUAL]</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Information undertakings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[Accounts within ______ days]</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[Per period]</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[STATUS]</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t>
            </w:r>
          </w:p>
        </w:tc>
      </w:tr>
    </w:tbl>
    <w:p>
      <w:pPr>
        <w:spacing w:after="160"/>
      </w:pPr>
    </w:p>
    <w:p>
      <w:pPr>
        <w:spacing w:after="60" w:before="240"/>
        <w:jc w:val="center"/>
      </w:pPr>
      <w:r>
        <w:rPr>
          <w:rFonts w:ascii="Calibri" w:cs="Calibri" w:eastAsia="Calibri" w:hAnsi="Calibri"/>
          <w:b/>
          <w:bCs/>
          <w:color w:val="14161B"/>
          <w:spacing w:val="12"/>
          <w:sz w:val="28"/>
          <w:szCs w:val="28"/>
        </w:rPr>
        <w:t xml:space="preserve">ANNEXURE</w:t>
      </w:r>
    </w:p>
    <w:p>
      <w:pPr>
        <w:spacing w:after="260"/>
        <w:jc w:val="center"/>
      </w:pPr>
      <w:r>
        <w:rPr>
          <w:rFonts w:ascii="Calibri" w:cs="Calibri" w:eastAsia="Calibri" w:hAnsi="Calibri"/>
          <w:i/>
          <w:iCs/>
          <w:color w:val="6E7480"/>
          <w:sz w:val="19"/>
          <w:szCs w:val="19"/>
        </w:rPr>
        <w:t xml:space="preserve">Pre-Advance Checklist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Check</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Confirmed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Moneylending licensing position confirmed and recorded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Borrower’s constitution permits the borrowing</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Board resolution passed; members’ resolution where required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Any investor consent or reserved matter satisfied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Existing facilities checked for negative pledge and cross-default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Assets to be charged are unencumbered, or prior consent obtained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Directors satisfied as to solvency; cash flow projection retained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Director interests declared where the lender is connected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Restrictions on loans to directors and connected persons considered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Guarantor has taken independent legal advice, evidenced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Withholding tax position on interest determined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Responsibility for lodging the charge agreed in writing</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Stamp duty position on any security document checked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Covenant test dates and information deadlines diarised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Funds advanced only after all conditions satisfied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Check the licensing position before advancing anything</w:t>
      </w:r>
    </w:p>
    <w:p>
      <w:pPr>
        <w:spacing w:after="60" w:line="264"/>
        <w:jc w:val="both"/>
      </w:pPr>
      <w:r>
        <w:rPr>
          <w:rFonts w:ascii="Calibri" w:cs="Calibri" w:eastAsia="Calibri" w:hAnsi="Calibri"/>
          <w:sz w:val="19"/>
          <w:szCs w:val="19"/>
        </w:rPr>
        <w:t xml:space="preserve">A contract made by an unlicensed moneylender is unenforceable, which means the lender may be unable to recover the money at all. Loans to companies are generally excluded, and there are other excluded and exempt categories, but they are defined rather than assumed. Confirm the basis and record it — check 1 of the annexure is first for a reason.</w:t>
      </w:r>
    </w:p>
    <w:p>
      <w:pPr>
        <w:keepNext/>
        <w:spacing w:after="40" w:before="140"/>
      </w:pPr>
      <w:r>
        <w:rPr>
          <w:rFonts w:ascii="Calibri" w:cs="Calibri" w:eastAsia="Calibri" w:hAnsi="Calibri"/>
          <w:b/>
          <w:bCs/>
          <w:color w:val="14161B"/>
          <w:sz w:val="20"/>
          <w:szCs w:val="20"/>
        </w:rPr>
        <w:t xml:space="preserve">A genuine one-off differs from a business</w:t>
      </w:r>
    </w:p>
    <w:p>
      <w:pPr>
        <w:spacing w:after="60" w:line="264"/>
        <w:jc w:val="both"/>
      </w:pPr>
      <w:r>
        <w:rPr>
          <w:rFonts w:ascii="Calibri" w:cs="Calibri" w:eastAsia="Calibri" w:hAnsi="Calibri"/>
          <w:sz w:val="19"/>
          <w:szCs w:val="19"/>
        </w:rPr>
        <w:t xml:space="preserve">The regime targets carrying on the business of moneylending. A single loan between friends is a different thing from repeated lending at interest to individuals. Where the pattern is unclear, take advice rather than relying on the transaction feeling informal.</w:t>
      </w:r>
    </w:p>
    <w:p>
      <w:pPr>
        <w:keepNext/>
        <w:spacing w:after="40" w:before="140"/>
      </w:pPr>
      <w:r>
        <w:rPr>
          <w:rFonts w:ascii="Calibri" w:cs="Calibri" w:eastAsia="Calibri" w:hAnsi="Calibri"/>
          <w:b/>
          <w:bCs/>
          <w:color w:val="14161B"/>
          <w:sz w:val="20"/>
          <w:szCs w:val="20"/>
        </w:rPr>
        <w:t xml:space="preserve">Register the charge, or lose the security</w:t>
      </w:r>
    </w:p>
    <w:p>
      <w:pPr>
        <w:spacing w:after="60" w:line="264"/>
        <w:jc w:val="both"/>
      </w:pPr>
      <w:r>
        <w:rPr>
          <w:rFonts w:ascii="Calibri" w:cs="Calibri" w:eastAsia="Calibri" w:hAnsi="Calibri"/>
          <w:sz w:val="19"/>
          <w:szCs w:val="19"/>
        </w:rPr>
        <w:t xml:space="preserve">A registrable charge not lodged within the prescribed period is void against the liquidator and creditors. The debt survives; the security does not. Lenders usually handle the filing and borrowers usually assume so — which is why check 12 requires the responsibility to be agreed in writing and confirmed afterwards.</w:t>
      </w:r>
    </w:p>
    <w:p>
      <w:pPr>
        <w:keepNext/>
        <w:spacing w:after="40" w:before="140"/>
      </w:pPr>
      <w:r>
        <w:rPr>
          <w:rFonts w:ascii="Calibri" w:cs="Calibri" w:eastAsia="Calibri" w:hAnsi="Calibri"/>
          <w:b/>
          <w:bCs/>
          <w:color w:val="14161B"/>
          <w:sz w:val="20"/>
          <w:szCs w:val="20"/>
        </w:rPr>
        <w:t xml:space="preserve">Negative pledges bite in both directions</w:t>
      </w:r>
    </w:p>
    <w:p>
      <w:pPr>
        <w:spacing w:after="60" w:line="264"/>
        <w:jc w:val="both"/>
      </w:pPr>
      <w:r>
        <w:rPr>
          <w:rFonts w:ascii="Calibri" w:cs="Calibri" w:eastAsia="Calibri" w:hAnsi="Calibri"/>
          <w:sz w:val="19"/>
          <w:szCs w:val="19"/>
        </w:rPr>
        <w:t xml:space="preserve">Before granting security, check whether existing facilities prohibit it. Granting a new charge in breach triggers default under the existing facility, and cross-default provisions cascade. Equally, the negative pledge in Clause 6.2(c) is what protects this lender from being subordinated later.</w:t>
      </w:r>
    </w:p>
    <w:p>
      <w:pPr>
        <w:keepNext/>
        <w:spacing w:after="40" w:before="140"/>
      </w:pPr>
      <w:r>
        <w:rPr>
          <w:rFonts w:ascii="Calibri" w:cs="Calibri" w:eastAsia="Calibri" w:hAnsi="Calibri"/>
          <w:b/>
          <w:bCs/>
          <w:color w:val="14161B"/>
          <w:sz w:val="20"/>
          <w:szCs w:val="20"/>
        </w:rPr>
        <w:t xml:space="preserve">Keep default interest modest</w:t>
      </w:r>
    </w:p>
    <w:p>
      <w:pPr>
        <w:spacing w:after="60" w:line="264"/>
        <w:jc w:val="both"/>
      </w:pPr>
      <w:r>
        <w:rPr>
          <w:rFonts w:ascii="Calibri" w:cs="Calibri" w:eastAsia="Calibri" w:hAnsi="Calibri"/>
          <w:sz w:val="19"/>
          <w:szCs w:val="19"/>
        </w:rPr>
        <w:t xml:space="preserve">A default rate must be a genuine pre-estimate of loss or otherwise commercially justifiable. A punitive uplift risks being struck down as a penalty, leaving the lender with nothing beyond ordinary interest. Two to four per cent above the contract rate is defensible; doubling it is not.</w:t>
      </w:r>
    </w:p>
    <w:p>
      <w:pPr>
        <w:keepNext/>
        <w:spacing w:after="40" w:before="140"/>
      </w:pPr>
      <w:r>
        <w:rPr>
          <w:rFonts w:ascii="Calibri" w:cs="Calibri" w:eastAsia="Calibri" w:hAnsi="Calibri"/>
          <w:b/>
          <w:bCs/>
          <w:color w:val="14161B"/>
          <w:sz w:val="20"/>
          <w:szCs w:val="20"/>
        </w:rPr>
        <w:t xml:space="preserve">Withholding tax on interest to non-residents</w:t>
      </w:r>
    </w:p>
    <w:p>
      <w:pPr>
        <w:spacing w:after="60" w:line="264"/>
        <w:jc w:val="both"/>
      </w:pPr>
      <w:r>
        <w:rPr>
          <w:rFonts w:ascii="Calibri" w:cs="Calibri" w:eastAsia="Calibri" w:hAnsi="Calibri"/>
          <w:sz w:val="19"/>
          <w:szCs w:val="19"/>
        </w:rPr>
        <w:t xml:space="preserve">Interest paid to a non-resident lender is a common withholding trigger. Clause 4.5 requires the gross-up position to be settled. Silence means the lender discovers it on the first payment, and a gross-up obligation agreed late is materially more expensive than one priced in.</w:t>
      </w:r>
    </w:p>
    <w:p>
      <w:pPr>
        <w:keepNext/>
        <w:spacing w:after="40" w:before="140"/>
      </w:pPr>
      <w:r>
        <w:rPr>
          <w:rFonts w:ascii="Calibri" w:cs="Calibri" w:eastAsia="Calibri" w:hAnsi="Calibri"/>
          <w:b/>
          <w:bCs/>
          <w:color w:val="14161B"/>
          <w:sz w:val="20"/>
          <w:szCs w:val="20"/>
        </w:rPr>
        <w:t xml:space="preserve">Guarantors need independent advice</w:t>
      </w:r>
    </w:p>
    <w:p>
      <w:pPr>
        <w:spacing w:after="60" w:line="264"/>
        <w:jc w:val="both"/>
      </w:pPr>
      <w:r>
        <w:rPr>
          <w:rFonts w:ascii="Calibri" w:cs="Calibri" w:eastAsia="Calibri" w:hAnsi="Calibri"/>
          <w:sz w:val="19"/>
          <w:szCs w:val="19"/>
        </w:rPr>
        <w:t xml:space="preserve">A guarantee, particularly a personal one from a director or spouse, is far more robust where the guarantor took independent legal advice and that is evidenced. Without it, arguments about undue influence and non-disclosure become available, and they succeed more often than lenders expect.</w:t>
      </w:r>
    </w:p>
    <w:p>
      <w:pPr>
        <w:keepNext/>
        <w:spacing w:after="40" w:before="140"/>
      </w:pPr>
      <w:r>
        <w:rPr>
          <w:rFonts w:ascii="Calibri" w:cs="Calibri" w:eastAsia="Calibri" w:hAnsi="Calibri"/>
          <w:b/>
          <w:bCs/>
          <w:color w:val="14161B"/>
          <w:sz w:val="20"/>
          <w:szCs w:val="20"/>
        </w:rPr>
        <w:t xml:space="preserve">Loans to directors are restricted</w:t>
      </w:r>
    </w:p>
    <w:p>
      <w:pPr>
        <w:spacing w:after="60" w:line="264"/>
        <w:jc w:val="both"/>
      </w:pPr>
      <w:r>
        <w:rPr>
          <w:rFonts w:ascii="Calibri" w:cs="Calibri" w:eastAsia="Calibri" w:hAnsi="Calibri"/>
          <w:sz w:val="19"/>
          <w:szCs w:val="19"/>
        </w:rPr>
        <w:t xml:space="preserve">The Companies Act restricts loans and quasi-loans to directors and connected persons, with exceptions. Owner-managed companies frequently run director current accounts without appreciating this. Where the lender or borrower is connected to a director, check 9 and the interest declaration in check 8 both apply.</w:t>
      </w:r>
    </w:p>
    <w:p>
      <w:pPr>
        <w:keepNext/>
        <w:spacing w:after="40" w:before="140"/>
      </w:pPr>
      <w:r>
        <w:rPr>
          <w:rFonts w:ascii="Calibri" w:cs="Calibri" w:eastAsia="Calibri" w:hAnsi="Calibri"/>
          <w:b/>
          <w:bCs/>
          <w:color w:val="14161B"/>
          <w:sz w:val="20"/>
          <w:szCs w:val="20"/>
        </w:rPr>
        <w:t xml:space="preserve">Solvency is a real question for the borrower’s directors</w:t>
      </w:r>
    </w:p>
    <w:p>
      <w:pPr>
        <w:spacing w:after="60" w:line="264"/>
        <w:jc w:val="both"/>
      </w:pPr>
      <w:r>
        <w:rPr>
          <w:rFonts w:ascii="Calibri" w:cs="Calibri" w:eastAsia="Calibri" w:hAnsi="Calibri"/>
          <w:sz w:val="19"/>
          <w:szCs w:val="19"/>
        </w:rPr>
        <w:t xml:space="preserve">Directors who allow a company to borrow when they know or ought to know it cannot repay face personal exposure. The cash flow projection in check 7 should be prepared and retained with the board resolution, not produced afterwards.</w:t>
      </w:r>
    </w:p>
    <w:p>
      <w:pPr>
        <w:keepNext/>
        <w:spacing w:after="40" w:before="140"/>
      </w:pPr>
      <w:r>
        <w:rPr>
          <w:rFonts w:ascii="Calibri" w:cs="Calibri" w:eastAsia="Calibri" w:hAnsi="Calibri"/>
          <w:b/>
          <w:bCs/>
          <w:color w:val="14161B"/>
          <w:sz w:val="20"/>
          <w:szCs w:val="20"/>
        </w:rPr>
        <w:t xml:space="preserve">Information covenants are breached most often</w:t>
      </w:r>
    </w:p>
    <w:p>
      <w:pPr>
        <w:spacing w:after="60" w:line="264"/>
        <w:jc w:val="both"/>
      </w:pPr>
      <w:r>
        <w:rPr>
          <w:rFonts w:ascii="Calibri" w:cs="Calibri" w:eastAsia="Calibri" w:hAnsi="Calibri"/>
          <w:sz w:val="19"/>
          <w:szCs w:val="19"/>
        </w:rPr>
        <w:t xml:space="preserve">Late accounts are a technical default that can trigger cross-default across every other facility and permit repricing. Diarise the delivery dates alongside the covenant tests, and treat a missed deadline as a real event rather than an administrative slip.</w:t>
      </w:r>
    </w:p>
    <w:p>
      <w:pPr>
        <w:keepNext/>
        <w:spacing w:after="40" w:before="140"/>
      </w:pPr>
      <w:r>
        <w:rPr>
          <w:rFonts w:ascii="Calibri" w:cs="Calibri" w:eastAsia="Calibri" w:hAnsi="Calibri"/>
          <w:b/>
          <w:bCs/>
          <w:color w:val="14161B"/>
          <w:sz w:val="20"/>
          <w:szCs w:val="20"/>
        </w:rPr>
        <w:t xml:space="preserve">Conditions precedent exist to be satisfied, not waived</w:t>
      </w:r>
    </w:p>
    <w:p>
      <w:pPr>
        <w:spacing w:after="60" w:line="264"/>
        <w:jc w:val="both"/>
      </w:pPr>
      <w:r>
        <w:rPr>
          <w:rFonts w:ascii="Calibri" w:cs="Calibri" w:eastAsia="Calibri" w:hAnsi="Calibri"/>
          <w:sz w:val="19"/>
          <w:szCs w:val="19"/>
        </w:rPr>
        <w:t xml:space="preserve">Advancing funds before the security is executed and the resolutions passed is common and is how lenders end up unsecured. Where a condition is genuinely waived, do it in writing and understand what is being given up.</w:t>
      </w:r>
    </w:p>
    <w:p>
      <w:pPr>
        <w:keepNext/>
        <w:spacing w:after="40" w:before="140"/>
      </w:pPr>
      <w:r>
        <w:rPr>
          <w:rFonts w:ascii="Calibri" w:cs="Calibri" w:eastAsia="Calibri" w:hAnsi="Calibri"/>
          <w:b/>
          <w:bCs/>
          <w:color w:val="14161B"/>
          <w:sz w:val="20"/>
          <w:szCs w:val="20"/>
        </w:rPr>
        <w:t xml:space="preserve">Application of payments matters on default</w:t>
      </w:r>
    </w:p>
    <w:p>
      <w:pPr>
        <w:spacing w:after="60" w:line="264"/>
        <w:jc w:val="both"/>
      </w:pPr>
      <w:r>
        <w:rPr>
          <w:rFonts w:ascii="Calibri" w:cs="Calibri" w:eastAsia="Calibri" w:hAnsi="Calibri"/>
          <w:sz w:val="19"/>
          <w:szCs w:val="19"/>
        </w:rPr>
        <w:t xml:space="preserve">Clause 5.4 applies payments to costs and interest before principal. On a distressed loan this determines how quickly the principal reduces, and borrowers frequently assume the opposite order.</w:t>
      </w:r>
    </w:p>
    <w:p>
      <w:pPr>
        <w:keepNext/>
        <w:spacing w:after="40" w:before="140"/>
      </w:pPr>
      <w:r>
        <w:rPr>
          <w:rFonts w:ascii="Calibri" w:cs="Calibri" w:eastAsia="Calibri" w:hAnsi="Calibri"/>
          <w:b/>
          <w:bCs/>
          <w:color w:val="14161B"/>
          <w:sz w:val="20"/>
          <w:szCs w:val="20"/>
        </w:rPr>
        <w:t xml:space="preserve">Discharge the security on repayment</w:t>
      </w:r>
    </w:p>
    <w:p>
      <w:pPr>
        <w:spacing w:after="60" w:line="264"/>
        <w:jc w:val="both"/>
      </w:pPr>
      <w:r>
        <w:rPr>
          <w:rFonts w:ascii="Calibri" w:cs="Calibri" w:eastAsia="Calibri" w:hAnsi="Calibri"/>
          <w:sz w:val="19"/>
          <w:szCs w:val="19"/>
        </w:rPr>
        <w:t xml:space="preserve">An undischarged charge on the public record after repayment obstructs the borrower’s future borrowing and appears in every diligence exercise. Clause 8.4 obliges the lender to lodge the memorandum of satisfaction — borrowers should chase it.</w:t>
      </w:r>
    </w:p>
    <w:p>
      <w:pPr>
        <w:keepNext/>
        <w:spacing w:after="40" w:before="140"/>
      </w:pPr>
      <w:r>
        <w:rPr>
          <w:rFonts w:ascii="Calibri" w:cs="Calibri" w:eastAsia="Calibri" w:hAnsi="Calibri"/>
          <w:b/>
          <w:bCs/>
          <w:color w:val="14161B"/>
          <w:sz w:val="20"/>
          <w:szCs w:val="20"/>
        </w:rPr>
        <w:t xml:space="preserve">Stamp duty on security documents</w:t>
      </w:r>
    </w:p>
    <w:p>
      <w:pPr>
        <w:spacing w:after="60" w:line="264"/>
        <w:jc w:val="both"/>
      </w:pPr>
      <w:r>
        <w:rPr>
          <w:rFonts w:ascii="Calibri" w:cs="Calibri" w:eastAsia="Calibri" w:hAnsi="Calibri"/>
          <w:sz w:val="19"/>
          <w:szCs w:val="19"/>
        </w:rPr>
        <w:t xml:space="preserve">Certain security instruments attract stamp duty, and an unstamped instrument is inadmissible in evidence. Check the position before execution rather than at enforcement, when it is too late to matter cheaply.</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Moneylenders Act and its exclusions and exemptions, charge registration periods under the Companies Act 1967, restrictions on loans to directors, withholding tax rates and stamp duty on security documents all change — take legal advice before lending or borrowing any material amount, and specifically on the licensing question.</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2026-08-22T06:55:31.295Z</dcterms:created>
  <dcterms:modified xsi:type="dcterms:W3CDTF">2026-08-22T06:55:31.295Z</dcterms:modified>
</cp:coreProperties>
</file>

<file path=docProps/custom.xml><?xml version="1.0" encoding="utf-8"?>
<Properties xmlns="http://schemas.openxmlformats.org/officeDocument/2006/custom-properties" xmlns:vt="http://schemas.openxmlformats.org/officeDocument/2006/docPropsVTypes"/>
</file>