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LIMITED LIABILITY PARTNERSHIP AGREEMENT</w:t>
      </w:r>
    </w:p>
    <w:p>
      <w:pPr>
        <w:spacing w:after="260"/>
        <w:jc w:val="center"/>
      </w:pPr>
      <w:r>
        <w:rPr>
          <w:rFonts w:ascii="Calibri" w:cs="Calibri" w:eastAsia="Calibri" w:hAnsi="Calibri"/>
          <w:i/>
          <w:iCs/>
          <w:color w:val="6E7480"/>
          <w:sz w:val="19"/>
          <w:szCs w:val="19"/>
        </w:rPr>
        <w:t xml:space="preserve">Between the partners of </w:t>
      </w:r>
      <w:r>
        <w:rPr>
          <w:rFonts w:ascii="Calibri" w:cs="Calibri" w:eastAsia="Calibri" w:hAnsi="Calibri"/>
          <w:b/>
          <w:bCs/>
          <w:i/>
          <w:iCs/>
          <w:color w:val="6E7480"/>
          <w:sz w:val="19"/>
          <w:szCs w:val="19"/>
        </w:rPr>
        <w:t xml:space="preserve">[LLP NAME]</w:t>
      </w:r>
    </w:p>
    <w:p>
      <w:pPr>
        <w:spacing w:after="180" w:before="0" w:line="276"/>
        <w:jc w:val="both"/>
      </w:pPr>
      <w:r>
        <w:rPr>
          <w:rFonts w:ascii="Calibri" w:cs="Calibri" w:eastAsia="Calibri" w:hAnsi="Calibri"/>
          <w:i/>
          <w:iCs/>
          <w:color w:val="6E7480"/>
          <w:sz w:val="21"/>
          <w:szCs w:val="21"/>
        </w:rPr>
        <w:t xml:space="preserve">An LLP is a body corporate with perpetual succession, but it is taxed transparently — partners are taxed individually rather than the entity paying corporate tax. That combination suits professional practices. It suits venture-backed businesses poorly, because investors expect shares, and converting later is not straightforward.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469"/>
        <w:gridCol w:w="6169"/>
      </w:tblGrid>
      <w:tr>
        <w:trPr>
          <w:tblHeader/>
        </w:trPr>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1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LLP</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[LLP NAME]</w:t>
            </w:r>
            <w:r>
              <w:rPr>
                <w:rFonts w:ascii="Calibri" w:cs="Calibri" w:eastAsia="Calibri" w:hAnsi="Calibri"/>
                <w:sz w:val="19"/>
                <w:szCs w:val="19"/>
              </w:rPr>
              <w:t xml:space="preserve">, UEN </w:t>
            </w:r>
            <w:r>
              <w:rPr>
                <w:rFonts w:ascii="Calibri" w:cs="Calibri" w:eastAsia="Calibri" w:hAnsi="Calibri"/>
                <w:b/>
                <w:bCs/>
                <w:sz w:val="19"/>
                <w:szCs w:val="19"/>
              </w:rPr>
              <w:t xml:space="preserve">[UEN]</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Registered office</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Business</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[DESCRIPTION]</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Partners at the date of this agreement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[NAMES]</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Manager</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r>
              <w:rPr>
                <w:rFonts w:ascii="Calibri" w:cs="Calibri" w:eastAsia="Calibri" w:hAnsi="Calibri"/>
                <w:sz w:val="19"/>
                <w:szCs w:val="19"/>
              </w:rPr>
              <w:t xml:space="preserve"> — </w:t>
            </w:r>
            <w:r>
              <w:rPr>
                <w:rFonts w:ascii="Calibri" w:cs="Calibri" w:eastAsia="Calibri" w:hAnsi="Calibri"/>
                <w:b/>
                <w:bCs/>
                <w:sz w:val="19"/>
                <w:szCs w:val="19"/>
              </w:rPr>
              <w:t xml:space="preserve">at least one manager ordinarily resident in Singapore is mandatory</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Financial year end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Tax treatment</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Transparent</w:t>
            </w:r>
            <w:r>
              <w:rPr>
                <w:rFonts w:ascii="Calibri" w:cs="Calibri" w:eastAsia="Calibri" w:hAnsi="Calibri"/>
                <w:sz w:val="19"/>
                <w:szCs w:val="19"/>
              </w:rPr>
              <w:t xml:space="preserve"> — partners taxed individually</w:t>
            </w:r>
          </w:p>
        </w:tc>
      </w:tr>
      <w:tr>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Agreement dated</w:t>
            </w:r>
          </w:p>
        </w:tc>
        <w:tc>
          <w:tcPr>
            <w:tcW w:type="dxa" w:w="6169"/>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bl>
    <w:p>
      <w:pPr>
        <w:spacing w:after="180"/>
      </w:pPr>
    </w:p>
    <w:p>
      <w:pPr>
        <w:keepNext/>
        <w:spacing w:after="120" w:before="280"/>
        <w:outlineLvl w:val="0"/>
      </w:pPr>
      <w:r>
        <w:rPr>
          <w:rFonts w:ascii="Calibri" w:cs="Calibri" w:eastAsia="Calibri" w:hAnsi="Calibri"/>
          <w:b/>
          <w:bCs/>
          <w:color w:val="14161B"/>
          <w:sz w:val="22"/>
          <w:szCs w:val="22"/>
        </w:rPr>
        <w:t xml:space="preserve">1. FORMATION AND STATUS</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The partners have registered </w:t>
      </w:r>
      <w:r>
        <w:rPr>
          <w:rFonts w:ascii="Calibri" w:cs="Calibri" w:eastAsia="Calibri" w:hAnsi="Calibri"/>
          <w:b/>
          <w:bCs/>
          <w:sz w:val="21"/>
          <w:szCs w:val="21"/>
        </w:rPr>
        <w:t xml:space="preserve">[LLP NAME]</w:t>
      </w:r>
      <w:r>
        <w:rPr>
          <w:rFonts w:ascii="Calibri" w:cs="Calibri" w:eastAsia="Calibri" w:hAnsi="Calibri"/>
          <w:sz w:val="21"/>
          <w:szCs w:val="21"/>
        </w:rPr>
        <w:t xml:space="preserve"> as a limited liability partnership under the Limited Liability Partnerships Act 2005.</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The LLP is a </w:t>
      </w:r>
      <w:r>
        <w:rPr>
          <w:rFonts w:ascii="Calibri" w:cs="Calibri" w:eastAsia="Calibri" w:hAnsi="Calibri"/>
          <w:b/>
          <w:bCs/>
          <w:sz w:val="21"/>
          <w:szCs w:val="21"/>
        </w:rPr>
        <w:t xml:space="preserve">body corporate with perpetual succession</w:t>
      </w:r>
      <w:r>
        <w:rPr>
          <w:rFonts w:ascii="Calibri" w:cs="Calibri" w:eastAsia="Calibri" w:hAnsi="Calibri"/>
          <w:sz w:val="21"/>
          <w:szCs w:val="21"/>
        </w:rPr>
        <w:t xml:space="preserve">, separate from its partners. It may own property, sue and be sued in its own name.</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A partner is </w:t>
      </w:r>
      <w:r>
        <w:rPr>
          <w:rFonts w:ascii="Calibri" w:cs="Calibri" w:eastAsia="Calibri" w:hAnsi="Calibri"/>
          <w:b/>
          <w:bCs/>
          <w:sz w:val="21"/>
          <w:szCs w:val="21"/>
        </w:rPr>
        <w:t xml:space="preserve">not personally liable</w:t>
      </w:r>
      <w:r>
        <w:rPr>
          <w:rFonts w:ascii="Calibri" w:cs="Calibri" w:eastAsia="Calibri" w:hAnsi="Calibri"/>
          <w:sz w:val="21"/>
          <w:szCs w:val="21"/>
        </w:rPr>
        <w:t xml:space="preserve"> for the obligations of the LLP merely by being a partner. </w:t>
      </w:r>
      <w:r>
        <w:rPr>
          <w:rFonts w:ascii="Calibri" w:cs="Calibri" w:eastAsia="Calibri" w:hAnsi="Calibri"/>
          <w:b/>
          <w:bCs/>
          <w:sz w:val="21"/>
          <w:szCs w:val="21"/>
        </w:rPr>
        <w:t xml:space="preserve">A partner remains personally liable for their own wrongful acts and omissions</w:t>
      </w:r>
      <w:r>
        <w:rPr>
          <w:rFonts w:ascii="Calibri" w:cs="Calibri" w:eastAsia="Calibri" w:hAnsi="Calibri"/>
          <w:sz w:val="21"/>
          <w:szCs w:val="21"/>
        </w:rPr>
        <w:t xml:space="preserve">, and the LLP is liable alongside them.</w:t>
      </w:r>
    </w:p>
    <w:p>
      <w:pPr>
        <w:spacing w:after="120" w:before="60" w:line="276"/>
        <w:ind w:left="720" w:hanging="720"/>
        <w:jc w:val="both"/>
      </w:pPr>
      <w:r>
        <w:rPr>
          <w:rFonts w:ascii="Calibri" w:cs="Calibri" w:eastAsia="Calibri" w:hAnsi="Calibri"/>
          <w:sz w:val="21"/>
          <w:szCs w:val="21"/>
        </w:rPr>
        <w:t xml:space="preserve">1.4	</w:t>
      </w:r>
      <w:r>
        <w:rPr>
          <w:rFonts w:ascii="Calibri" w:cs="Calibri" w:eastAsia="Calibri" w:hAnsi="Calibri"/>
          <w:sz w:val="21"/>
          <w:szCs w:val="21"/>
        </w:rPr>
        <w:t xml:space="preserve">This agreement governs the relationship between the partners. Where it is silent, the default provisions in the First Schedule to the Act apply. </w:t>
      </w:r>
      <w:r>
        <w:rPr>
          <w:rFonts w:ascii="Calibri" w:cs="Calibri" w:eastAsia="Calibri" w:hAnsi="Calibri"/>
          <w:i/>
          <w:iCs/>
          <w:sz w:val="21"/>
          <w:szCs w:val="21"/>
        </w:rPr>
        <w:t xml:space="preserve">Those defaults are frequently unsuitable — equal profit shares regardless of contribution, and unanimity for many decisions.</w:t>
      </w:r>
    </w:p>
    <w:p>
      <w:pPr>
        <w:keepNext/>
        <w:spacing w:after="120" w:before="280"/>
        <w:outlineLvl w:val="0"/>
      </w:pPr>
      <w:r>
        <w:rPr>
          <w:rFonts w:ascii="Calibri" w:cs="Calibri" w:eastAsia="Calibri" w:hAnsi="Calibri"/>
          <w:b/>
          <w:bCs/>
          <w:color w:val="14161B"/>
          <w:sz w:val="22"/>
          <w:szCs w:val="22"/>
        </w:rPr>
        <w:t xml:space="preserve">2. CAPITAL AND CONTRIBUTIONS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2120"/>
        <w:gridCol w:w="1927"/>
        <w:gridCol w:w="2313"/>
        <w:gridCol w:w="1156"/>
        <w:gridCol w:w="1060"/>
        <w:gridCol w:w="1062"/>
      </w:tblGrid>
      <w:tr>
        <w:trPr>
          <w:tblHeader/>
        </w:trPr>
        <w:tc>
          <w:tcPr>
            <w:tcW w:type="dxa" w:w="212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Partner</w:t>
            </w:r>
          </w:p>
        </w:tc>
        <w:tc>
          <w:tcPr>
            <w:tcW w:type="dxa" w:w="192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Capital contributed (S$)</w:t>
            </w:r>
          </w:p>
        </w:tc>
        <w:tc>
          <w:tcPr>
            <w:tcW w:type="dxa" w:w="231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Non-cash contribution</w:t>
            </w:r>
          </w:p>
        </w:tc>
        <w:tc>
          <w:tcPr>
            <w:tcW w:type="dxa" w:w="115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Capital share</w:t>
            </w:r>
          </w:p>
        </w:tc>
        <w:tc>
          <w:tcPr>
            <w:tcW w:type="dxa" w:w="106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Profit share</w:t>
            </w:r>
          </w:p>
        </w:tc>
        <w:tc>
          <w:tcPr>
            <w:tcW w:type="dxa" w:w="10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Loss share</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[AMOUNT]</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[DESCRIBE AND VALUE]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10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[AMOUNT]</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[DESCRIBE]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10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[AMOUNT]</w:t>
            </w:r>
          </w:p>
        </w:tc>
        <w:tc>
          <w:tcPr>
            <w:tcW w:type="dxa" w:w="2313"/>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[DESCRIBE]</w:t>
            </w: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10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r>
      <w:tr>
        <w:tc>
          <w:tcPr>
            <w:tcW w:type="dxa" w:w="212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Total</w:t>
            </w:r>
          </w:p>
        </w:tc>
        <w:tc>
          <w:tcPr>
            <w:tcW w:type="dxa" w:w="1927"/>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[AMOUNT]</w:t>
            </w:r>
          </w:p>
        </w:tc>
        <w:tc>
          <w:tcPr>
            <w:tcW w:type="dxa" w:w="2313"/>
            <w:tcMar>
              <w:top w:type="dxa" w:w="70"/>
              <w:left w:type="dxa" w:w="100"/>
              <w:bottom w:type="dxa" w:w="70"/>
              <w:right w:type="dxa" w:w="100"/>
            </w:tcMar>
            <w:vAlign w:val="center"/>
          </w:tcPr>
          <w:p>
            <w:pPr>
              <w:spacing w:after="0" w:line="240"/>
              <w:jc w:val="left"/>
            </w:pPr>
          </w:p>
        </w:tc>
        <w:tc>
          <w:tcPr>
            <w:tcW w:type="dxa" w:w="1156"/>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100%</w:t>
            </w:r>
          </w:p>
        </w:tc>
        <w:tc>
          <w:tcPr>
            <w:tcW w:type="dxa" w:w="106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100%</w:t>
            </w:r>
          </w:p>
        </w:tc>
        <w:tc>
          <w:tcPr>
            <w:tcW w:type="dxa" w:w="106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100%</w:t>
            </w:r>
          </w:p>
        </w:tc>
      </w:tr>
    </w:tbl>
    <w:p>
      <w:pPr>
        <w:spacing w:after="140"/>
      </w:pP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Further capital shall be contributed only by agreement of </w:t>
      </w:r>
      <w:r>
        <w:rPr>
          <w:rFonts w:ascii="Calibri" w:cs="Calibri" w:eastAsia="Calibri" w:hAnsi="Calibri"/>
          <w:b/>
          <w:bCs/>
          <w:sz w:val="21"/>
          <w:szCs w:val="21"/>
        </w:rPr>
        <w:t xml:space="preserve">[all partners / partners holding ______ per cent]</w:t>
      </w:r>
      <w:r>
        <w:rPr>
          <w:rFonts w:ascii="Calibri" w:cs="Calibri" w:eastAsia="Calibri" w:hAnsi="Calibri"/>
          <w:sz w:val="21"/>
          <w:szCs w:val="21"/>
        </w:rPr>
        <w:t xml:space="preserve">. A partner who does not contribute their share </w:t>
      </w:r>
      <w:r>
        <w:rPr>
          <w:rFonts w:ascii="Calibri" w:cs="Calibri" w:eastAsia="Calibri" w:hAnsi="Calibri"/>
          <w:b/>
          <w:bCs/>
          <w:sz w:val="21"/>
          <w:szCs w:val="21"/>
        </w:rPr>
        <w:t xml:space="preserve">[shall be diluted on the basis set out in Schedule 1 / shall not be diluted]</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Capital contributions </w:t>
      </w:r>
      <w:r>
        <w:rPr>
          <w:rFonts w:ascii="Calibri" w:cs="Calibri" w:eastAsia="Calibri" w:hAnsi="Calibri"/>
          <w:b/>
          <w:bCs/>
          <w:sz w:val="21"/>
          <w:szCs w:val="21"/>
        </w:rPr>
        <w:t xml:space="preserve">[do / do not]</w:t>
      </w:r>
      <w:r>
        <w:rPr>
          <w:rFonts w:ascii="Calibri" w:cs="Calibri" w:eastAsia="Calibri" w:hAnsi="Calibri"/>
          <w:sz w:val="21"/>
          <w:szCs w:val="21"/>
        </w:rPr>
        <w:t xml:space="preserve"> carry interest.</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A partner may not withdraw capital without the agreement of </w:t>
      </w:r>
      <w:r>
        <w:rPr>
          <w:rFonts w:ascii="Calibri" w:cs="Calibri" w:eastAsia="Calibri" w:hAnsi="Calibri"/>
          <w:b/>
          <w:bCs/>
          <w:sz w:val="21"/>
          <w:szCs w:val="21"/>
        </w:rPr>
        <w:t xml:space="preserve">[all partners / a specified majority]</w:t>
      </w:r>
      <w:r>
        <w:rPr>
          <w:rFonts w:ascii="Calibri" w:cs="Calibri" w:eastAsia="Calibri" w:hAnsi="Calibri"/>
          <w:sz w:val="21"/>
          <w:szCs w:val="21"/>
        </w:rPr>
        <w:t xml:space="preserve">.</w:t>
      </w:r>
    </w:p>
    <w:p>
      <w:pPr>
        <w:keepNext/>
        <w:spacing w:after="120" w:before="280"/>
        <w:outlineLvl w:val="0"/>
      </w:pPr>
      <w:r>
        <w:rPr>
          <w:rFonts w:ascii="Calibri" w:cs="Calibri" w:eastAsia="Calibri" w:hAnsi="Calibri"/>
          <w:b/>
          <w:bCs/>
          <w:color w:val="14161B"/>
          <w:sz w:val="22"/>
          <w:szCs w:val="22"/>
        </w:rPr>
        <w:t xml:space="preserve">3. PROFITS, DRAWINGS AND TAX</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sz w:val="21"/>
          <w:szCs w:val="21"/>
        </w:rPr>
        <w:t xml:space="preserve">Profits and losses are shared in the proportions above, determined after the LLP’s financial statements for the year are prepared.</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Partners may take monthly drawings of </w:t>
      </w:r>
      <w:r>
        <w:rPr>
          <w:rFonts w:ascii="Calibri" w:cs="Calibri" w:eastAsia="Calibri" w:hAnsi="Calibri"/>
          <w:b/>
          <w:bCs/>
          <w:sz w:val="21"/>
          <w:szCs w:val="21"/>
        </w:rPr>
        <w:t xml:space="preserve">S$ </w:t>
      </w:r>
      <w:r>
        <w:rPr>
          <w:rFonts w:ascii="Calibri" w:cs="Calibri" w:eastAsia="Calibri" w:hAnsi="Calibri"/>
          <w:b/>
          <w:bCs/>
          <w:sz w:val="21"/>
          <w:szCs w:val="21"/>
        </w:rPr>
        <w:t xml:space="preserve">[AMOUNT]</w:t>
      </w:r>
      <w:r>
        <w:rPr>
          <w:rFonts w:ascii="Calibri" w:cs="Calibri" w:eastAsia="Calibri" w:hAnsi="Calibri"/>
          <w:sz w:val="21"/>
          <w:szCs w:val="21"/>
        </w:rPr>
        <w:t xml:space="preserve"> each, on account of profits. Drawings exceeding a partner’s profit share are repayable.</w:t>
      </w:r>
    </w:p>
    <w:p>
      <w:pPr>
        <w:spacing w:after="120" w:before="60" w:line="276"/>
        <w:ind w:left="720" w:hanging="720"/>
        <w:jc w:val="both"/>
      </w:pPr>
      <w:r>
        <w:rPr>
          <w:rFonts w:ascii="Calibri" w:cs="Calibri" w:eastAsia="Calibri" w:hAnsi="Calibri"/>
          <w:sz w:val="21"/>
          <w:szCs w:val="21"/>
        </w:rPr>
        <w:t xml:space="preserve">3.3	</w:t>
      </w:r>
      <w:r>
        <w:rPr>
          <w:rFonts w:ascii="Calibri" w:cs="Calibri" w:eastAsia="Calibri" w:hAnsi="Calibri"/>
          <w:b/>
          <w:bCs/>
          <w:sz w:val="21"/>
          <w:szCs w:val="21"/>
        </w:rPr>
        <w:t xml:space="preserve">Tax.</w:t>
      </w:r>
      <w:r>
        <w:rPr>
          <w:rFonts w:ascii="Calibri" w:cs="Calibri" w:eastAsia="Calibri" w:hAnsi="Calibri"/>
          <w:sz w:val="21"/>
          <w:szCs w:val="21"/>
        </w:rPr>
        <w:t xml:space="preserve"> The LLP is treated as transparent. </w:t>
      </w:r>
      <w:r>
        <w:rPr>
          <w:rFonts w:ascii="Calibri" w:cs="Calibri" w:eastAsia="Calibri" w:hAnsi="Calibri"/>
          <w:b/>
          <w:bCs/>
          <w:sz w:val="21"/>
          <w:szCs w:val="21"/>
        </w:rPr>
        <w:t xml:space="preserve">Each partner is taxed individually on their share of the income</w:t>
      </w:r>
      <w:r>
        <w:rPr>
          <w:rFonts w:ascii="Calibri" w:cs="Calibri" w:eastAsia="Calibri" w:hAnsi="Calibri"/>
          <w:sz w:val="21"/>
          <w:szCs w:val="21"/>
        </w:rPr>
        <w:t xml:space="preserve">, at their own rate, whether or not the profit is distributed. A partner who leaves profits in the LLP is still taxed on them.</w:t>
      </w:r>
    </w:p>
    <w:p>
      <w:pPr>
        <w:spacing w:after="120" w:before="60" w:line="276"/>
        <w:ind w:left="720" w:hanging="720"/>
        <w:jc w:val="both"/>
      </w:pPr>
      <w:r>
        <w:rPr>
          <w:rFonts w:ascii="Calibri" w:cs="Calibri" w:eastAsia="Calibri" w:hAnsi="Calibri"/>
          <w:sz w:val="21"/>
          <w:szCs w:val="21"/>
        </w:rPr>
        <w:t xml:space="preserve">3.4	</w:t>
      </w:r>
      <w:r>
        <w:rPr>
          <w:rFonts w:ascii="Calibri" w:cs="Calibri" w:eastAsia="Calibri" w:hAnsi="Calibri"/>
          <w:sz w:val="21"/>
          <w:szCs w:val="21"/>
        </w:rPr>
        <w:t xml:space="preserve">The LLP shall provide each partner with the information needed for their tax return within </w:t>
      </w:r>
      <w:r>
        <w:rPr>
          <w:rFonts w:ascii="Calibri" w:cs="Calibri" w:eastAsia="Calibri" w:hAnsi="Calibri"/>
          <w:b/>
          <w:bCs/>
          <w:sz w:val="21"/>
          <w:szCs w:val="21"/>
        </w:rPr>
        <w:t xml:space="preserve">[PERIOD]</w:t>
      </w:r>
      <w:r>
        <w:rPr>
          <w:rFonts w:ascii="Calibri" w:cs="Calibri" w:eastAsia="Calibri" w:hAnsi="Calibri"/>
          <w:sz w:val="21"/>
          <w:szCs w:val="21"/>
        </w:rPr>
        <w:t xml:space="preserve"> of the year end.</w:t>
      </w:r>
    </w:p>
    <w:p>
      <w:pPr>
        <w:spacing w:after="120" w:before="60" w:line="276"/>
        <w:ind w:left="720" w:hanging="720"/>
        <w:jc w:val="both"/>
      </w:pPr>
      <w:r>
        <w:rPr>
          <w:rFonts w:ascii="Calibri" w:cs="Calibri" w:eastAsia="Calibri" w:hAnsi="Calibri"/>
          <w:sz w:val="21"/>
          <w:szCs w:val="21"/>
        </w:rPr>
        <w:t xml:space="preserve">3.5	</w:t>
      </w:r>
      <w:r>
        <w:rPr>
          <w:rFonts w:ascii="Calibri" w:cs="Calibri" w:eastAsia="Calibri" w:hAnsi="Calibri"/>
          <w:sz w:val="21"/>
          <w:szCs w:val="21"/>
        </w:rPr>
        <w:t xml:space="preserve">Losses may be available to a partner subject to the relevant restrictions, including limits by reference to the partner’s contributed capital. </w:t>
      </w:r>
      <w:r>
        <w:rPr>
          <w:rFonts w:ascii="Calibri" w:cs="Calibri" w:eastAsia="Calibri" w:hAnsi="Calibri"/>
          <w:i/>
          <w:iCs/>
          <w:sz w:val="21"/>
          <w:szCs w:val="21"/>
        </w:rPr>
        <w:t xml:space="preserve">Take advice — loss relief for LLP partners is restricted and the position is not intuitive.</w:t>
      </w:r>
    </w:p>
    <w:p>
      <w:pPr>
        <w:spacing w:after="120" w:before="60" w:line="276"/>
        <w:ind w:left="720" w:hanging="720"/>
        <w:jc w:val="both"/>
      </w:pPr>
      <w:r>
        <w:rPr>
          <w:rFonts w:ascii="Calibri" w:cs="Calibri" w:eastAsia="Calibri" w:hAnsi="Calibri"/>
          <w:sz w:val="21"/>
          <w:szCs w:val="21"/>
        </w:rPr>
        <w:t xml:space="preserve">3.6	</w:t>
      </w:r>
      <w:r>
        <w:rPr>
          <w:rFonts w:ascii="Calibri" w:cs="Calibri" w:eastAsia="Calibri" w:hAnsi="Calibri"/>
          <w:sz w:val="21"/>
          <w:szCs w:val="21"/>
        </w:rPr>
        <w:t xml:space="preserve">A partner is </w:t>
      </w:r>
      <w:r>
        <w:rPr>
          <w:rFonts w:ascii="Calibri" w:cs="Calibri" w:eastAsia="Calibri" w:hAnsi="Calibri"/>
          <w:b/>
          <w:bCs/>
          <w:sz w:val="21"/>
          <w:szCs w:val="21"/>
        </w:rPr>
        <w:t xml:space="preserve">not an employee</w:t>
      </w:r>
      <w:r>
        <w:rPr>
          <w:rFonts w:ascii="Calibri" w:cs="Calibri" w:eastAsia="Calibri" w:hAnsi="Calibri"/>
          <w:sz w:val="21"/>
          <w:szCs w:val="21"/>
        </w:rPr>
        <w:t xml:space="preserve"> of the LLP and </w:t>
      </w:r>
      <w:r>
        <w:rPr>
          <w:rFonts w:ascii="Calibri" w:cs="Calibri" w:eastAsia="Calibri" w:hAnsi="Calibri"/>
          <w:b/>
          <w:bCs/>
          <w:sz w:val="21"/>
          <w:szCs w:val="21"/>
        </w:rPr>
        <w:t xml:space="preserve">no CPF contributions are payable</w:t>
      </w:r>
      <w:r>
        <w:rPr>
          <w:rFonts w:ascii="Calibri" w:cs="Calibri" w:eastAsia="Calibri" w:hAnsi="Calibri"/>
          <w:sz w:val="21"/>
          <w:szCs w:val="21"/>
        </w:rPr>
        <w:t xml:space="preserve"> by the LLP in respect of a partner. Partners who are citizens or permanent residents make their own contributions as self-employed persons where required. </w:t>
      </w:r>
      <w:r>
        <w:rPr>
          <w:rFonts w:ascii="Calibri" w:cs="Calibri" w:eastAsia="Calibri" w:hAnsi="Calibri"/>
          <w:i/>
          <w:iCs/>
          <w:sz w:val="21"/>
          <w:szCs w:val="21"/>
        </w:rPr>
        <w:t xml:space="preserve">(Where a partner is treated as an employee in substance, take advice — the distinction matters for CPF, insurance and employment protections.)</w:t>
      </w:r>
    </w:p>
    <w:p>
      <w:pPr>
        <w:keepNext/>
        <w:spacing w:after="120" w:before="280"/>
        <w:outlineLvl w:val="0"/>
      </w:pPr>
      <w:r>
        <w:rPr>
          <w:rFonts w:ascii="Calibri" w:cs="Calibri" w:eastAsia="Calibri" w:hAnsi="Calibri"/>
          <w:b/>
          <w:bCs/>
          <w:color w:val="14161B"/>
          <w:sz w:val="22"/>
          <w:szCs w:val="22"/>
        </w:rPr>
        <w:t xml:space="preserve">4. MANAGEMENT</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The LLP shall at all times have at least one </w:t>
      </w:r>
      <w:r>
        <w:rPr>
          <w:rFonts w:ascii="Calibri" w:cs="Calibri" w:eastAsia="Calibri" w:hAnsi="Calibri"/>
          <w:b/>
          <w:bCs/>
          <w:sz w:val="21"/>
          <w:szCs w:val="21"/>
        </w:rPr>
        <w:t xml:space="preserve">manager</w:t>
      </w:r>
      <w:r>
        <w:rPr>
          <w:rFonts w:ascii="Calibri" w:cs="Calibri" w:eastAsia="Calibri" w:hAnsi="Calibri"/>
          <w:sz w:val="21"/>
          <w:szCs w:val="21"/>
        </w:rPr>
        <w:t xml:space="preserve"> who is a natural person of full age and capacity and is </w:t>
      </w:r>
      <w:r>
        <w:rPr>
          <w:rFonts w:ascii="Calibri" w:cs="Calibri" w:eastAsia="Calibri" w:hAnsi="Calibri"/>
          <w:b/>
          <w:bCs/>
          <w:sz w:val="21"/>
          <w:szCs w:val="21"/>
        </w:rPr>
        <w:t xml:space="preserve">ordinarily resident in Singapore</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The manager is responsible for the acts, matters and things required to be done by the LLP under the Act, and </w:t>
      </w:r>
      <w:r>
        <w:rPr>
          <w:rFonts w:ascii="Calibri" w:cs="Calibri" w:eastAsia="Calibri" w:hAnsi="Calibri"/>
          <w:b/>
          <w:bCs/>
          <w:sz w:val="21"/>
          <w:szCs w:val="21"/>
        </w:rPr>
        <w:t xml:space="preserve">may be personally liable for penalties</w:t>
      </w:r>
      <w:r>
        <w:rPr>
          <w:rFonts w:ascii="Calibri" w:cs="Calibri" w:eastAsia="Calibri" w:hAnsi="Calibri"/>
          <w:sz w:val="21"/>
          <w:szCs w:val="21"/>
        </w:rPr>
        <w:t xml:space="preserve"> where the LLP defaults.</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sz w:val="21"/>
          <w:szCs w:val="21"/>
        </w:rPr>
        <w:t xml:space="preserve">Decisions of the partners are taken as follows:</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5590"/>
        <w:gridCol w:w="4048"/>
      </w:tblGrid>
      <w:tr>
        <w:trPr>
          <w:tblHeader/>
        </w:trPr>
        <w:tc>
          <w:tcPr>
            <w:tcW w:type="dxa" w:w="559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Decision</w:t>
            </w:r>
          </w:p>
        </w:tc>
        <w:tc>
          <w:tcPr>
            <w:tcW w:type="dxa" w:w="404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Threshold</w:t>
            </w:r>
          </w:p>
        </w:tc>
      </w:tr>
      <w:t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Day-to-day management</w:t>
            </w:r>
          </w:p>
        </w:tc>
        <w:tc>
          <w:tcPr>
            <w:tcW w:type="dxa" w:w="40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[The manager, within agreed limits]</w:t>
            </w:r>
          </w:p>
        </w:tc>
      </w:tr>
      <w:t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Expenditure above S$ </w:t>
            </w:r>
            <w:r>
              <w:rPr>
                <w:rFonts w:ascii="Calibri" w:cs="Calibri" w:eastAsia="Calibri" w:hAnsi="Calibri"/>
                <w:b/>
                <w:bCs/>
                <w:sz w:val="18"/>
                <w:szCs w:val="18"/>
              </w:rPr>
              <w:t xml:space="preserve">[AMOUNT]</w:t>
            </w:r>
          </w:p>
        </w:tc>
        <w:tc>
          <w:tcPr>
            <w:tcW w:type="dxa" w:w="40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[Majority by profit share]</w:t>
            </w:r>
          </w:p>
        </w:tc>
      </w:tr>
      <w:t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Admitting a new partner</w:t>
            </w:r>
          </w:p>
        </w:tc>
        <w:tc>
          <w:tcPr>
            <w:tcW w:type="dxa" w:w="40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[Unanimous]</w:t>
            </w:r>
          </w:p>
        </w:tc>
      </w:tr>
      <w:t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Expelling a partner</w:t>
            </w:r>
          </w:p>
        </w:tc>
        <w:tc>
          <w:tcPr>
            <w:tcW w:type="dxa" w:w="40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[Unanimous, excluding the partner concerned]</w:t>
            </w:r>
          </w:p>
        </w:tc>
      </w:tr>
      <w:t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Changing profit shares</w:t>
            </w:r>
          </w:p>
        </w:tc>
        <w:tc>
          <w:tcPr>
            <w:tcW w:type="dxa" w:w="40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[Unanimous]</w:t>
            </w:r>
          </w:p>
        </w:tc>
      </w:tr>
      <w:t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Borrowing above S$ </w:t>
            </w:r>
            <w:r>
              <w:rPr>
                <w:rFonts w:ascii="Calibri" w:cs="Calibri" w:eastAsia="Calibri" w:hAnsi="Calibri"/>
                <w:b/>
                <w:bCs/>
                <w:sz w:val="18"/>
                <w:szCs w:val="18"/>
              </w:rPr>
              <w:t xml:space="preserve">[AMOUNT]</w:t>
            </w:r>
            <w:r>
              <w:rPr>
                <w:rFonts w:ascii="Calibri" w:cs="Calibri" w:eastAsia="Calibri" w:hAnsi="Calibri"/>
                <w:sz w:val="18"/>
                <w:szCs w:val="18"/>
              </w:rPr>
              <w:t xml:space="preserve"> or granting security</w:t>
            </w:r>
          </w:p>
        </w:tc>
        <w:tc>
          <w:tcPr>
            <w:tcW w:type="dxa" w:w="40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[Unanimous]</w:t>
            </w:r>
          </w:p>
        </w:tc>
      </w:tr>
      <w:t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Changing the nature of the business</w:t>
            </w:r>
          </w:p>
        </w:tc>
        <w:tc>
          <w:tcPr>
            <w:tcW w:type="dxa" w:w="40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[Unanimous]</w:t>
            </w:r>
          </w:p>
        </w:tc>
      </w:tr>
      <w:t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Amending this agreement</w:t>
            </w:r>
          </w:p>
        </w:tc>
        <w:tc>
          <w:tcPr>
            <w:tcW w:type="dxa" w:w="40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[Unanimous]</w:t>
            </w:r>
          </w:p>
        </w:tc>
      </w:tr>
      <w:tr>
        <w:tc>
          <w:tcPr>
            <w:tcW w:type="dxa" w:w="559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Winding up the LLP</w:t>
            </w:r>
          </w:p>
        </w:tc>
        <w:tc>
          <w:tcPr>
            <w:tcW w:type="dxa" w:w="40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[Unanimous]</w:t>
            </w:r>
          </w:p>
        </w:tc>
      </w:tr>
    </w:tbl>
    <w:p>
      <w:pPr>
        <w:spacing w:after="140"/>
      </w:pP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sz w:val="21"/>
          <w:szCs w:val="21"/>
        </w:rPr>
        <w:t xml:space="preserve">Partners shall meet at least </w:t>
      </w:r>
      <w:r>
        <w:rPr>
          <w:rFonts w:ascii="Calibri" w:cs="Calibri" w:eastAsia="Calibri" w:hAnsi="Calibri"/>
          <w:b/>
          <w:bCs/>
          <w:sz w:val="21"/>
          <w:szCs w:val="21"/>
        </w:rPr>
        <w:t xml:space="preserve">[quarterly]</w:t>
      </w:r>
      <w:r>
        <w:rPr>
          <w:rFonts w:ascii="Calibri" w:cs="Calibri" w:eastAsia="Calibri" w:hAnsi="Calibri"/>
          <w:sz w:val="21"/>
          <w:szCs w:val="21"/>
        </w:rPr>
        <w:t xml:space="preserve">, and decisions shall be minuted.</w:t>
      </w:r>
    </w:p>
    <w:p>
      <w:pPr>
        <w:keepNext/>
        <w:spacing w:after="120" w:before="280"/>
        <w:outlineLvl w:val="0"/>
      </w:pPr>
      <w:r>
        <w:rPr>
          <w:rFonts w:ascii="Calibri" w:cs="Calibri" w:eastAsia="Calibri" w:hAnsi="Calibri"/>
          <w:b/>
          <w:bCs/>
          <w:color w:val="14161B"/>
          <w:sz w:val="22"/>
          <w:szCs w:val="22"/>
        </w:rPr>
        <w:t xml:space="preserve">5. DUTIES</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Each partner shall devote </w:t>
      </w:r>
      <w:r>
        <w:rPr>
          <w:rFonts w:ascii="Calibri" w:cs="Calibri" w:eastAsia="Calibri" w:hAnsi="Calibri"/>
          <w:b/>
          <w:bCs/>
          <w:sz w:val="21"/>
          <w:szCs w:val="21"/>
        </w:rPr>
        <w:t xml:space="preserve">[their full time and attention / such time as agreed]</w:t>
      </w:r>
      <w:r>
        <w:rPr>
          <w:rFonts w:ascii="Calibri" w:cs="Calibri" w:eastAsia="Calibri" w:hAnsi="Calibri"/>
          <w:sz w:val="21"/>
          <w:szCs w:val="21"/>
        </w:rPr>
        <w:t xml:space="preserve"> to the business, act in good faith towards the LLP and the other partners, account for any benefit derived from a transaction concerning the LLP, and not compete with the LLP without consent.</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Each partner shall disclose promptly any conflict of interest.</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Confidential information and intellectual property created in the course of the business belong to the </w:t>
      </w:r>
      <w:r>
        <w:rPr>
          <w:rFonts w:ascii="Calibri" w:cs="Calibri" w:eastAsia="Calibri" w:hAnsi="Calibri"/>
          <w:b/>
          <w:bCs/>
          <w:sz w:val="21"/>
          <w:szCs w:val="21"/>
        </w:rPr>
        <w:t xml:space="preserve">LLP</w:t>
      </w:r>
      <w:r>
        <w:rPr>
          <w:rFonts w:ascii="Calibri" w:cs="Calibri" w:eastAsia="Calibri" w:hAnsi="Calibri"/>
          <w:sz w:val="21"/>
          <w:szCs w:val="21"/>
        </w:rPr>
        <w:t xml:space="preserve">, and each partner assigns such rights to it.</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6. ADMISSION, RETIREMENT AND EXPULSION</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A new partner may be admitted with the agreement required above, and must sign a deed of adherence to this agreement.</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A partner may retire on </w:t>
      </w:r>
      <w:r>
        <w:rPr>
          <w:rFonts w:ascii="Calibri" w:cs="Calibri" w:eastAsia="Calibri" w:hAnsi="Calibri"/>
          <w:b/>
          <w:bCs/>
          <w:sz w:val="21"/>
          <w:szCs w:val="21"/>
        </w:rPr>
        <w:t xml:space="preserve">[PERIOD]</w:t>
      </w:r>
      <w:r>
        <w:rPr>
          <w:rFonts w:ascii="Calibri" w:cs="Calibri" w:eastAsia="Calibri" w:hAnsi="Calibri"/>
          <w:sz w:val="21"/>
          <w:szCs w:val="21"/>
        </w:rPr>
        <w:t xml:space="preserve"> written notice to the other partners.</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A partner may be expelled where they </w:t>
      </w:r>
      <w:r>
        <w:rPr>
          <w:rFonts w:ascii="Calibri" w:cs="Calibri" w:eastAsia="Calibri" w:hAnsi="Calibri"/>
          <w:b/>
          <w:bCs/>
          <w:sz w:val="21"/>
          <w:szCs w:val="21"/>
        </w:rPr>
        <w:t xml:space="preserve">[commit a material breach not remedied within ______ days / are convicted of an offence involving dishonesty / become bankrupt / are unable to perform their duties for more than ______ months / lose a professional qualification required for the business]</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sz w:val="21"/>
          <w:szCs w:val="21"/>
        </w:rPr>
        <w:t xml:space="preserve">On a partner ceasing to be a partner:</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their capital account shall be settled on the basis in Schedule 2, payable </w:t>
      </w:r>
      <w:r>
        <w:rPr>
          <w:rFonts w:ascii="Calibri" w:cs="Calibri" w:eastAsia="Calibri" w:hAnsi="Calibri"/>
          <w:b/>
          <w:bCs/>
          <w:sz w:val="21"/>
          <w:szCs w:val="21"/>
        </w:rPr>
        <w:t xml:space="preserve">[in ______ instalments over ______ months]</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their share of profits to the cessation date shall be computed and paid;</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they shall remain liable for obligations incurred while a partner;</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the restrictive covenants in Clause 7 apply; and</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b/>
          <w:bCs/>
          <w:sz w:val="21"/>
          <w:szCs w:val="21"/>
        </w:rPr>
        <w:t xml:space="preserve">notification shall be lodged with the Registrar within the prescribed period</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6.5	</w:t>
      </w:r>
      <w:r>
        <w:rPr>
          <w:rFonts w:ascii="Calibri" w:cs="Calibri" w:eastAsia="Calibri" w:hAnsi="Calibri"/>
          <w:sz w:val="21"/>
          <w:szCs w:val="21"/>
        </w:rPr>
        <w:t xml:space="preserve">A former partner may be treated as still a partner in relation to a person dealing with the LLP who has no notice of the cessation, until notification is lodged. </w:t>
      </w:r>
      <w:r>
        <w:rPr>
          <w:rFonts w:ascii="Calibri" w:cs="Calibri" w:eastAsia="Calibri" w:hAnsi="Calibri"/>
          <w:i/>
          <w:iCs/>
          <w:sz w:val="21"/>
          <w:szCs w:val="21"/>
        </w:rPr>
        <w:t xml:space="preserve">This is why the filing matters, not merely the internal record.</w:t>
      </w:r>
    </w:p>
    <w:p>
      <w:pPr>
        <w:keepNext/>
        <w:spacing w:after="120" w:before="280"/>
        <w:outlineLvl w:val="0"/>
      </w:pPr>
      <w:r>
        <w:rPr>
          <w:rFonts w:ascii="Calibri" w:cs="Calibri" w:eastAsia="Calibri" w:hAnsi="Calibri"/>
          <w:b/>
          <w:bCs/>
          <w:color w:val="14161B"/>
          <w:sz w:val="22"/>
          <w:szCs w:val="22"/>
        </w:rPr>
        <w:t xml:space="preserve">7. RESTRICTIVE COVENANTS</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For </w:t>
      </w:r>
      <w:r>
        <w:rPr>
          <w:rFonts w:ascii="Calibri" w:cs="Calibri" w:eastAsia="Calibri" w:hAnsi="Calibri"/>
          <w:b/>
          <w:bCs/>
          <w:sz w:val="21"/>
          <w:szCs w:val="21"/>
        </w:rPr>
        <w:t xml:space="preserve">[NUMBER]</w:t>
      </w:r>
      <w:r>
        <w:rPr>
          <w:rFonts w:ascii="Calibri" w:cs="Calibri" w:eastAsia="Calibri" w:hAnsi="Calibri"/>
          <w:sz w:val="21"/>
          <w:szCs w:val="21"/>
        </w:rPr>
        <w:t xml:space="preserve"> months after ceasing to be a partner, a former partner shall not, within </w:t>
      </w:r>
      <w:r>
        <w:rPr>
          <w:rFonts w:ascii="Calibri" w:cs="Calibri" w:eastAsia="Calibri" w:hAnsi="Calibri"/>
          <w:b/>
          <w:bCs/>
          <w:sz w:val="21"/>
          <w:szCs w:val="21"/>
        </w:rPr>
        <w:t xml:space="preserve">[AREA]</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solicit or deal with any client of the LLP with whom they had material dealings in the </w:t>
      </w:r>
      <w:r>
        <w:rPr>
          <w:rFonts w:ascii="Calibri" w:cs="Calibri" w:eastAsia="Calibri" w:hAnsi="Calibri"/>
          <w:b/>
          <w:bCs/>
          <w:sz w:val="21"/>
          <w:szCs w:val="21"/>
        </w:rPr>
        <w:t xml:space="preserve">[12]</w:t>
      </w:r>
      <w:r>
        <w:rPr>
          <w:rFonts w:ascii="Calibri" w:cs="Calibri" w:eastAsia="Calibri" w:hAnsi="Calibri"/>
          <w:sz w:val="21"/>
          <w:szCs w:val="21"/>
        </w:rPr>
        <w:t xml:space="preserve"> months before cessation, in connection with </w:t>
      </w:r>
      <w:r>
        <w:rPr>
          <w:rFonts w:ascii="Calibri" w:cs="Calibri" w:eastAsia="Calibri" w:hAnsi="Calibri"/>
          <w:b/>
          <w:bCs/>
          <w:sz w:val="21"/>
          <w:szCs w:val="21"/>
        </w:rPr>
        <w:t xml:space="preserve">[THE SPECIFIC BUSINESS]</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solicit or employ any partner or employee of the LLP with whom they worked in that period; or</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b/>
          <w:bCs/>
          <w:sz w:val="21"/>
          <w:szCs w:val="21"/>
        </w:rPr>
        <w:t xml:space="preserve">[where justified by the role]</w:t>
      </w:r>
      <w:r>
        <w:rPr>
          <w:rFonts w:ascii="Calibri" w:cs="Calibri" w:eastAsia="Calibri" w:hAnsi="Calibri"/>
          <w:sz w:val="21"/>
          <w:szCs w:val="21"/>
        </w:rPr>
        <w:t xml:space="preserve"> be engaged in </w:t>
      </w:r>
      <w:r>
        <w:rPr>
          <w:rFonts w:ascii="Calibri" w:cs="Calibri" w:eastAsia="Calibri" w:hAnsi="Calibri"/>
          <w:b/>
          <w:bCs/>
          <w:sz w:val="21"/>
          <w:szCs w:val="21"/>
        </w:rPr>
        <w:t xml:space="preserve">[THE SPECIFIC BUSINESS]</w:t>
      </w:r>
      <w:r>
        <w:rPr>
          <w:rFonts w:ascii="Calibri" w:cs="Calibri" w:eastAsia="Calibri" w:hAnsi="Calibri"/>
          <w:sz w:val="21"/>
          <w:szCs w:val="21"/>
        </w:rPr>
        <w:t xml:space="preserve"> in a capacity the same as or materially similar to that in which they acted for the LLP.</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sz w:val="21"/>
          <w:szCs w:val="21"/>
        </w:rPr>
        <w:t xml:space="preserve">Each restriction is separate. </w:t>
      </w:r>
      <w:r>
        <w:rPr>
          <w:rFonts w:ascii="Calibri" w:cs="Calibri" w:eastAsia="Calibri" w:hAnsi="Calibri"/>
          <w:i/>
          <w:iCs/>
          <w:sz w:val="21"/>
          <w:szCs w:val="21"/>
        </w:rPr>
        <w:t xml:space="preserve">Restrictive covenants are enforceable in Singapore only so far as reasonable, and an over-broad covenant fails entirely rather than being narrowed — draft each blank deliberately.</w:t>
      </w:r>
    </w:p>
    <w:p>
      <w:pPr>
        <w:spacing w:after="120" w:before="60" w:line="276"/>
        <w:ind w:left="720" w:hanging="720"/>
        <w:jc w:val="both"/>
      </w:pPr>
      <w:r>
        <w:rPr>
          <w:rFonts w:ascii="Calibri" w:cs="Calibri" w:eastAsia="Calibri" w:hAnsi="Calibri"/>
          <w:sz w:val="21"/>
          <w:szCs w:val="21"/>
        </w:rPr>
        <w:t xml:space="preserve">7.3	</w:t>
      </w:r>
      <w:r>
        <w:rPr>
          <w:rFonts w:ascii="Calibri" w:cs="Calibri" w:eastAsia="Calibri" w:hAnsi="Calibri"/>
          <w:sz w:val="21"/>
          <w:szCs w:val="21"/>
        </w:rPr>
        <w:t xml:space="preserve">Confidentiality obligations continue without limit of time.</w:t>
      </w:r>
    </w:p>
    <w:p>
      <w:pPr>
        <w:keepNext/>
        <w:spacing w:after="120" w:before="280"/>
        <w:outlineLvl w:val="0"/>
      </w:pPr>
      <w:r>
        <w:rPr>
          <w:rFonts w:ascii="Calibri" w:cs="Calibri" w:eastAsia="Calibri" w:hAnsi="Calibri"/>
          <w:b/>
          <w:bCs/>
          <w:color w:val="14161B"/>
          <w:sz w:val="22"/>
          <w:szCs w:val="22"/>
        </w:rPr>
        <w:t xml:space="preserve">8. DISPUTE RESOLUTION AND DISSOLUTION</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sz w:val="21"/>
          <w:szCs w:val="21"/>
        </w:rPr>
        <w:t xml:space="preserve">The partners shall attempt in good faith to resolve any dispute, escalating to </w:t>
      </w:r>
      <w:r>
        <w:rPr>
          <w:rFonts w:ascii="Calibri" w:cs="Calibri" w:eastAsia="Calibri" w:hAnsi="Calibri"/>
          <w:b/>
          <w:bCs/>
          <w:sz w:val="21"/>
          <w:szCs w:val="21"/>
        </w:rPr>
        <w:t xml:space="preserve">[mediation at ______]</w:t>
      </w:r>
      <w:r>
        <w:rPr>
          <w:rFonts w:ascii="Calibri" w:cs="Calibri" w:eastAsia="Calibri" w:hAnsi="Calibri"/>
          <w:sz w:val="21"/>
          <w:szCs w:val="21"/>
        </w:rPr>
        <w:t xml:space="preserve"> before commencing proceedings.</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sz w:val="21"/>
          <w:szCs w:val="21"/>
        </w:rPr>
        <w:t xml:space="preserve">The LLP may be wound up voluntarily by agreement of </w:t>
      </w:r>
      <w:r>
        <w:rPr>
          <w:rFonts w:ascii="Calibri" w:cs="Calibri" w:eastAsia="Calibri" w:hAnsi="Calibri"/>
          <w:b/>
          <w:bCs/>
          <w:sz w:val="21"/>
          <w:szCs w:val="21"/>
        </w:rPr>
        <w:t xml:space="preserve">[all partners]</w:t>
      </w:r>
      <w:r>
        <w:rPr>
          <w:rFonts w:ascii="Calibri" w:cs="Calibri" w:eastAsia="Calibri" w:hAnsi="Calibri"/>
          <w:sz w:val="21"/>
          <w:szCs w:val="21"/>
        </w:rPr>
        <w:t xml:space="preserve">, or as provided by the Act.</w:t>
      </w:r>
    </w:p>
    <w:p>
      <w:pPr>
        <w:spacing w:after="120" w:before="60" w:line="276"/>
        <w:ind w:left="720" w:hanging="720"/>
        <w:jc w:val="both"/>
      </w:pPr>
      <w:r>
        <w:rPr>
          <w:rFonts w:ascii="Calibri" w:cs="Calibri" w:eastAsia="Calibri" w:hAnsi="Calibri"/>
          <w:sz w:val="21"/>
          <w:szCs w:val="21"/>
        </w:rPr>
        <w:t xml:space="preserve">8.3	</w:t>
      </w:r>
      <w:r>
        <w:rPr>
          <w:rFonts w:ascii="Calibri" w:cs="Calibri" w:eastAsia="Calibri" w:hAnsi="Calibri"/>
          <w:sz w:val="21"/>
          <w:szCs w:val="21"/>
        </w:rPr>
        <w:t xml:space="preserve">On winding up, assets shall be applied to creditors, then to repay capital, then distributed in profit-sharing proportions.</w:t>
      </w:r>
    </w:p>
    <w:p>
      <w:pPr>
        <w:keepNext/>
        <w:spacing w:after="120" w:before="280"/>
        <w:outlineLvl w:val="0"/>
      </w:pPr>
      <w:r>
        <w:rPr>
          <w:rFonts w:ascii="Calibri" w:cs="Calibri" w:eastAsia="Calibri" w:hAnsi="Calibri"/>
          <w:b/>
          <w:bCs/>
          <w:color w:val="14161B"/>
          <w:sz w:val="22"/>
          <w:szCs w:val="22"/>
        </w:rPr>
        <w:t xml:space="preserve">9. GENERAL</w:t>
      </w:r>
    </w:p>
    <w:p>
      <w:pPr>
        <w:spacing w:after="120" w:before="60" w:line="276"/>
        <w:ind w:left="720" w:hanging="720"/>
        <w:jc w:val="both"/>
      </w:pPr>
      <w:r>
        <w:rPr>
          <w:rFonts w:ascii="Calibri" w:cs="Calibri" w:eastAsia="Calibri" w:hAnsi="Calibri"/>
          <w:sz w:val="21"/>
          <w:szCs w:val="21"/>
        </w:rPr>
        <w:t xml:space="preserve">9.1	</w:t>
      </w:r>
      <w:r>
        <w:rPr>
          <w:rFonts w:ascii="Calibri" w:cs="Calibri" w:eastAsia="Calibri" w:hAnsi="Calibri"/>
          <w:sz w:val="21"/>
          <w:szCs w:val="21"/>
        </w:rPr>
        <w:t xml:space="preserve">This agreement constitutes the whole agreement between the partners and supersedes the default provisions of the First Schedule to the Act to the extent of any inconsistency.</w:t>
      </w:r>
    </w:p>
    <w:p>
      <w:pPr>
        <w:spacing w:after="120" w:before="60" w:line="276"/>
        <w:ind w:left="720" w:hanging="720"/>
        <w:jc w:val="both"/>
      </w:pPr>
      <w:r>
        <w:rPr>
          <w:rFonts w:ascii="Calibri" w:cs="Calibri" w:eastAsia="Calibri" w:hAnsi="Calibri"/>
          <w:sz w:val="21"/>
          <w:szCs w:val="21"/>
        </w:rPr>
        <w:t xml:space="preserve">9.2	</w:t>
      </w:r>
      <w:r>
        <w:rPr>
          <w:rFonts w:ascii="Calibri" w:cs="Calibri" w:eastAsia="Calibri" w:hAnsi="Calibri"/>
          <w:sz w:val="21"/>
          <w:szCs w:val="21"/>
        </w:rPr>
        <w:t xml:space="preserve">This agreement is governed by the laws of Singapore.</w:t>
      </w:r>
    </w:p>
    <w:p>
      <w:pPr>
        <w:spacing w:after="20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Partner</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Partner</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ANNEXURE</w:t>
      </w:r>
    </w:p>
    <w:p>
      <w:pPr>
        <w:spacing w:after="260"/>
        <w:jc w:val="center"/>
      </w:pPr>
      <w:r>
        <w:rPr>
          <w:rFonts w:ascii="Calibri" w:cs="Calibri" w:eastAsia="Calibri" w:hAnsi="Calibri"/>
          <w:i/>
          <w:iCs/>
          <w:color w:val="6E7480"/>
          <w:sz w:val="19"/>
          <w:szCs w:val="19"/>
        </w:rPr>
        <w:t xml:space="preserve">LLP Compliance Calendar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5300"/>
        <w:gridCol w:w="2409"/>
        <w:gridCol w:w="1448"/>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530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Obligation</w:t>
            </w:r>
          </w:p>
        </w:tc>
        <w:tc>
          <w:tcPr>
            <w:tcW w:type="dxa" w:w="240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Timing</w:t>
            </w:r>
          </w:p>
        </w:tc>
        <w:tc>
          <w:tcPr>
            <w:tcW w:type="dxa" w:w="144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Done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At least one manager ordinarily resident in Singapore maintained</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Continuous</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Registered office maintained and accessible</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Continuous</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Changes to partners or managers notified to the Registrar</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Within the prescribed period</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Changes to particulars of partners or managers notified</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Within the prescribed period</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Register of registrable controllers maintained</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Continuous</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Annual verification notices sent to controllers</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Each calendar year</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Central register filings made</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 change</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Annual declaration of solvency or insolvency lodged</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Annually, within the prescribed period</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Accounting records kept sufficient to explain transactions</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Continuous</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Partners provided with information for their individual tax returns</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After year end</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11</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Each partner files their own tax return including their share</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By the individual deadline</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12</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GST registration assessed against the threshold</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Ongoing</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13</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Where the LLP has employees: KETs, payslips, CPF for employees</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Ongoing</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14</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Insurance appropriate to the practice maintained</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Annually</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15</w:t>
            </w:r>
          </w:p>
        </w:tc>
        <w:tc>
          <w:tcPr>
            <w:tcW w:type="dxa" w:w="5300"/>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Partnership meetings held and minuted</w:t>
            </w:r>
          </w:p>
        </w:tc>
        <w:tc>
          <w:tcPr>
            <w:tcW w:type="dxa" w:w="240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Quarterly</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An LLP is a body corporate, not a partnership in the old sense</w:t>
      </w:r>
    </w:p>
    <w:p>
      <w:pPr>
        <w:spacing w:after="60" w:line="264"/>
        <w:jc w:val="both"/>
      </w:pPr>
      <w:r>
        <w:rPr>
          <w:rFonts w:ascii="Calibri" w:cs="Calibri" w:eastAsia="Calibri" w:hAnsi="Calibri"/>
          <w:sz w:val="19"/>
          <w:szCs w:val="19"/>
        </w:rPr>
        <w:t xml:space="preserve">It has separate legal personality and perpetual succession. Partners are not personally liable for the LLP’s obligations merely by being partners — but each remains liable for their own wrongful acts and omissions, and the LLP is liable alongside them. The shield protects you from your partners’ mistakes, not your own.</w:t>
      </w:r>
    </w:p>
    <w:p>
      <w:pPr>
        <w:keepNext/>
        <w:spacing w:after="40" w:before="140"/>
      </w:pPr>
      <w:r>
        <w:rPr>
          <w:rFonts w:ascii="Calibri" w:cs="Calibri" w:eastAsia="Calibri" w:hAnsi="Calibri"/>
          <w:b/>
          <w:bCs/>
          <w:color w:val="14161B"/>
          <w:sz w:val="20"/>
          <w:szCs w:val="20"/>
        </w:rPr>
        <w:t xml:space="preserve">Transparent taxation is the main attraction</w:t>
      </w:r>
    </w:p>
    <w:p>
      <w:pPr>
        <w:spacing w:after="60" w:line="264"/>
        <w:jc w:val="both"/>
      </w:pPr>
      <w:r>
        <w:rPr>
          <w:rFonts w:ascii="Calibri" w:cs="Calibri" w:eastAsia="Calibri" w:hAnsi="Calibri"/>
          <w:sz w:val="19"/>
          <w:szCs w:val="19"/>
        </w:rPr>
        <w:t xml:space="preserve">The LLP does not pay tax; each partner is taxed on their share at their own rate. That avoids the two-layer position of a company distributing dividends, and it suits professional practices well. It also means a partner is taxed on profits left in the business — Clause 3.3 says so, and partners routinely misunderstand it.</w:t>
      </w:r>
    </w:p>
    <w:p>
      <w:pPr>
        <w:keepNext/>
        <w:spacing w:after="40" w:before="140"/>
      </w:pPr>
      <w:r>
        <w:rPr>
          <w:rFonts w:ascii="Calibri" w:cs="Calibri" w:eastAsia="Calibri" w:hAnsi="Calibri"/>
          <w:b/>
          <w:bCs/>
          <w:color w:val="14161B"/>
          <w:sz w:val="20"/>
          <w:szCs w:val="20"/>
        </w:rPr>
        <w:t xml:space="preserve">Loss relief is restricted</w:t>
      </w:r>
    </w:p>
    <w:p>
      <w:pPr>
        <w:spacing w:after="60" w:line="264"/>
        <w:jc w:val="both"/>
      </w:pPr>
      <w:r>
        <w:rPr>
          <w:rFonts w:ascii="Calibri" w:cs="Calibri" w:eastAsia="Calibri" w:hAnsi="Calibri"/>
          <w:sz w:val="19"/>
          <w:szCs w:val="19"/>
        </w:rPr>
        <w:t xml:space="preserve">Relief for a partner’s share of LLP losses is subject to restrictions, including limits referable to the partner’s contributed capital. Do not assume losses flow through freely. Take advice before structuring on the basis that they will.</w:t>
      </w:r>
    </w:p>
    <w:p>
      <w:pPr>
        <w:keepNext/>
        <w:spacing w:after="40" w:before="140"/>
      </w:pPr>
      <w:r>
        <w:rPr>
          <w:rFonts w:ascii="Calibri" w:cs="Calibri" w:eastAsia="Calibri" w:hAnsi="Calibri"/>
          <w:b/>
          <w:bCs/>
          <w:color w:val="14161B"/>
          <w:sz w:val="20"/>
          <w:szCs w:val="20"/>
        </w:rPr>
        <w:t xml:space="preserve">No CPF for partners</w:t>
      </w:r>
    </w:p>
    <w:p>
      <w:pPr>
        <w:spacing w:after="60" w:line="264"/>
        <w:jc w:val="both"/>
      </w:pPr>
      <w:r>
        <w:rPr>
          <w:rFonts w:ascii="Calibri" w:cs="Calibri" w:eastAsia="Calibri" w:hAnsi="Calibri"/>
          <w:sz w:val="19"/>
          <w:szCs w:val="19"/>
        </w:rPr>
        <w:t xml:space="preserve">Partners are not employees and the LLP makes no CPF contributions for them. Citizens and permanent residents deal with their own contributions as self-employed persons where required. Where someone is called a partner but is treated as an employee in substance, the distinction matters for contributions, insurance and employment protections — get it right at the outset.</w:t>
      </w:r>
    </w:p>
    <w:p>
      <w:pPr>
        <w:keepNext/>
        <w:spacing w:after="40" w:before="140"/>
      </w:pPr>
      <w:r>
        <w:rPr>
          <w:rFonts w:ascii="Calibri" w:cs="Calibri" w:eastAsia="Calibri" w:hAnsi="Calibri"/>
          <w:b/>
          <w:bCs/>
          <w:color w:val="14161B"/>
          <w:sz w:val="20"/>
          <w:szCs w:val="20"/>
        </w:rPr>
        <w:t xml:space="preserve">One manager ordinarily resident in Singapore, always</w:t>
      </w:r>
    </w:p>
    <w:p>
      <w:pPr>
        <w:spacing w:after="60" w:line="264"/>
        <w:jc w:val="both"/>
      </w:pPr>
      <w:r>
        <w:rPr>
          <w:rFonts w:ascii="Calibri" w:cs="Calibri" w:eastAsia="Calibri" w:hAnsi="Calibri"/>
          <w:sz w:val="19"/>
          <w:szCs w:val="19"/>
        </w:rPr>
        <w:t xml:space="preserve">The requirement is continuous. The manager carries personal exposure to penalties for the LLP’s defaults, which makes it a role to fill deliberately rather than by nominating whoever is available.</w:t>
      </w:r>
    </w:p>
    <w:p>
      <w:pPr>
        <w:keepNext/>
        <w:spacing w:after="40" w:before="140"/>
      </w:pPr>
      <w:r>
        <w:rPr>
          <w:rFonts w:ascii="Calibri" w:cs="Calibri" w:eastAsia="Calibri" w:hAnsi="Calibri"/>
          <w:b/>
          <w:bCs/>
          <w:color w:val="14161B"/>
          <w:sz w:val="20"/>
          <w:szCs w:val="20"/>
        </w:rPr>
        <w:t xml:space="preserve">The default provisions are usually wrong for you</w:t>
      </w:r>
    </w:p>
    <w:p>
      <w:pPr>
        <w:spacing w:after="60" w:line="264"/>
        <w:jc w:val="both"/>
      </w:pPr>
      <w:r>
        <w:rPr>
          <w:rFonts w:ascii="Calibri" w:cs="Calibri" w:eastAsia="Calibri" w:hAnsi="Calibri"/>
          <w:sz w:val="19"/>
          <w:szCs w:val="19"/>
        </w:rPr>
        <w:t xml:space="preserve">Where the agreement is silent, the First Schedule defaults apply — including equal profit sharing regardless of contribution, and unanimity requirements that can paralyse decision-making. Most LLPs that operate without a written agreement discover this during their first disagreement.</w:t>
      </w:r>
    </w:p>
    <w:p>
      <w:pPr>
        <w:keepNext/>
        <w:spacing w:after="40" w:before="140"/>
      </w:pPr>
      <w:r>
        <w:rPr>
          <w:rFonts w:ascii="Calibri" w:cs="Calibri" w:eastAsia="Calibri" w:hAnsi="Calibri"/>
          <w:b/>
          <w:bCs/>
          <w:color w:val="14161B"/>
          <w:sz w:val="20"/>
          <w:szCs w:val="20"/>
        </w:rPr>
        <w:t xml:space="preserve">File partner changes promptly</w:t>
      </w:r>
    </w:p>
    <w:p>
      <w:pPr>
        <w:spacing w:after="60" w:line="264"/>
        <w:jc w:val="both"/>
      </w:pPr>
      <w:r>
        <w:rPr>
          <w:rFonts w:ascii="Calibri" w:cs="Calibri" w:eastAsia="Calibri" w:hAnsi="Calibri"/>
          <w:sz w:val="19"/>
          <w:szCs w:val="19"/>
        </w:rPr>
        <w:t xml:space="preserve">A former partner can be treated as still a partner in relation to someone dealing with the LLP who has no notice of the cessation, until the notification is lodged. That is a live liability for the departed partner and a real risk for the LLP. Clause 6.5 flags it; the filing is what closes it.</w:t>
      </w:r>
    </w:p>
    <w:p>
      <w:pPr>
        <w:keepNext/>
        <w:spacing w:after="40" w:before="140"/>
      </w:pPr>
      <w:r>
        <w:rPr>
          <w:rFonts w:ascii="Calibri" w:cs="Calibri" w:eastAsia="Calibri" w:hAnsi="Calibri"/>
          <w:b/>
          <w:bCs/>
          <w:color w:val="14161B"/>
          <w:sz w:val="20"/>
          <w:szCs w:val="20"/>
        </w:rPr>
        <w:t xml:space="preserve">The annual solvency declaration is mandatory</w:t>
      </w:r>
    </w:p>
    <w:p>
      <w:pPr>
        <w:spacing w:after="60" w:line="264"/>
        <w:jc w:val="both"/>
      </w:pPr>
      <w:r>
        <w:rPr>
          <w:rFonts w:ascii="Calibri" w:cs="Calibri" w:eastAsia="Calibri" w:hAnsi="Calibri"/>
          <w:sz w:val="19"/>
          <w:szCs w:val="19"/>
        </w:rPr>
        <w:t xml:space="preserve">An LLP must lodge an annual declaration as to whether it is able to pay its debts. It is not an accounts filing, which is why LLPs that keep no formal accounts still have an annual obligation. Missing it is common and easily avoided.</w:t>
      </w:r>
    </w:p>
    <w:p>
      <w:pPr>
        <w:keepNext/>
        <w:spacing w:after="40" w:before="140"/>
      </w:pPr>
      <w:r>
        <w:rPr>
          <w:rFonts w:ascii="Calibri" w:cs="Calibri" w:eastAsia="Calibri" w:hAnsi="Calibri"/>
          <w:b/>
          <w:bCs/>
          <w:color w:val="14161B"/>
          <w:sz w:val="20"/>
          <w:szCs w:val="20"/>
        </w:rPr>
        <w:t xml:space="preserve">The controllers register applies to LLPs too</w:t>
      </w:r>
    </w:p>
    <w:p>
      <w:pPr>
        <w:spacing w:after="60" w:line="264"/>
        <w:jc w:val="both"/>
      </w:pPr>
      <w:r>
        <w:rPr>
          <w:rFonts w:ascii="Calibri" w:cs="Calibri" w:eastAsia="Calibri" w:hAnsi="Calibri"/>
          <w:sz w:val="19"/>
          <w:szCs w:val="19"/>
        </w:rPr>
        <w:t xml:space="preserve">Registrable controller obligations, central filing and annual verification notices apply to limited liability partnerships as to companies. LLPs frequently assume these are a company-only requirement.</w:t>
      </w:r>
    </w:p>
    <w:p>
      <w:pPr>
        <w:keepNext/>
        <w:spacing w:after="40" w:before="140"/>
      </w:pPr>
      <w:r>
        <w:rPr>
          <w:rFonts w:ascii="Calibri" w:cs="Calibri" w:eastAsia="Calibri" w:hAnsi="Calibri"/>
          <w:b/>
          <w:bCs/>
          <w:color w:val="14161B"/>
          <w:sz w:val="20"/>
          <w:szCs w:val="20"/>
        </w:rPr>
        <w:t xml:space="preserve">LLPs do not suit venture funding</w:t>
      </w:r>
    </w:p>
    <w:p>
      <w:pPr>
        <w:spacing w:after="60" w:line="264"/>
        <w:jc w:val="both"/>
      </w:pPr>
      <w:r>
        <w:rPr>
          <w:rFonts w:ascii="Calibri" w:cs="Calibri" w:eastAsia="Calibri" w:hAnsi="Calibri"/>
          <w:sz w:val="19"/>
          <w:szCs w:val="19"/>
        </w:rPr>
        <w:t xml:space="preserve">Investors expect shares, preference rights, option pools and a familiar exit mechanism. An LLP offers none of these naturally, and converting to a company later involves transferring the business with tax, contractual and licensing consequences. If external equity is the plan, incorporate a company.</w:t>
      </w:r>
    </w:p>
    <w:p>
      <w:pPr>
        <w:keepNext/>
        <w:spacing w:after="40" w:before="140"/>
      </w:pPr>
      <w:r>
        <w:rPr>
          <w:rFonts w:ascii="Calibri" w:cs="Calibri" w:eastAsia="Calibri" w:hAnsi="Calibri"/>
          <w:b/>
          <w:bCs/>
          <w:color w:val="14161B"/>
          <w:sz w:val="20"/>
          <w:szCs w:val="20"/>
        </w:rPr>
        <w:t xml:space="preserve">Settle the exit terms before anyone wants to leave</w:t>
      </w:r>
    </w:p>
    <w:p>
      <w:pPr>
        <w:spacing w:after="60" w:line="264"/>
        <w:jc w:val="both"/>
      </w:pPr>
      <w:r>
        <w:rPr>
          <w:rFonts w:ascii="Calibri" w:cs="Calibri" w:eastAsia="Calibri" w:hAnsi="Calibri"/>
          <w:sz w:val="19"/>
          <w:szCs w:val="19"/>
        </w:rPr>
        <w:t xml:space="preserve">Capital account settlement, payment timing, profit share to the cessation date and covenants are far easier to agree at formation. Schedule 2 should set out the valuation basis explicitly — a formula agreed in advance prevents the argument that otherwise follows every departure.</w:t>
      </w:r>
    </w:p>
    <w:p>
      <w:pPr>
        <w:keepNext/>
        <w:spacing w:after="40" w:before="140"/>
      </w:pPr>
      <w:r>
        <w:rPr>
          <w:rFonts w:ascii="Calibri" w:cs="Calibri" w:eastAsia="Calibri" w:hAnsi="Calibri"/>
          <w:b/>
          <w:bCs/>
          <w:color w:val="14161B"/>
          <w:sz w:val="20"/>
          <w:szCs w:val="20"/>
        </w:rPr>
        <w:t xml:space="preserve">Covenants must be reasonable to be enforceable</w:t>
      </w:r>
    </w:p>
    <w:p>
      <w:pPr>
        <w:spacing w:after="60" w:line="264"/>
        <w:jc w:val="both"/>
      </w:pPr>
      <w:r>
        <w:rPr>
          <w:rFonts w:ascii="Calibri" w:cs="Calibri" w:eastAsia="Calibri" w:hAnsi="Calibri"/>
          <w:sz w:val="19"/>
          <w:szCs w:val="19"/>
        </w:rPr>
        <w:t xml:space="preserve">Restraints in Singapore are enforceable only so far as reasonable, and an over-broad covenant fails entirely rather than being read down. Match the restricted business and area to what the partner actually did and where the LLP actually operates. For professional practices, non-solicitation and non-dealing usually suffice.</w:t>
      </w:r>
    </w:p>
    <w:p>
      <w:pPr>
        <w:keepNext/>
        <w:spacing w:after="40" w:before="140"/>
      </w:pPr>
      <w:r>
        <w:rPr>
          <w:rFonts w:ascii="Calibri" w:cs="Calibri" w:eastAsia="Calibri" w:hAnsi="Calibri"/>
          <w:b/>
          <w:bCs/>
          <w:color w:val="14161B"/>
          <w:sz w:val="20"/>
          <w:szCs w:val="20"/>
        </w:rPr>
        <w:t xml:space="preserve">Assign the intellectual property</w:t>
      </w:r>
    </w:p>
    <w:p>
      <w:pPr>
        <w:spacing w:after="60" w:line="264"/>
        <w:jc w:val="both"/>
      </w:pPr>
      <w:r>
        <w:rPr>
          <w:rFonts w:ascii="Calibri" w:cs="Calibri" w:eastAsia="Calibri" w:hAnsi="Calibri"/>
          <w:sz w:val="19"/>
          <w:szCs w:val="19"/>
        </w:rPr>
        <w:t xml:space="preserve">Work product, methodologies and materials created by partners belong to the LLP only if assigned. In a professional practice this is often the main asset, and its ownership should not be left to inference.</w:t>
      </w:r>
    </w:p>
    <w:p>
      <w:pPr>
        <w:keepNext/>
        <w:spacing w:after="40" w:before="140"/>
      </w:pPr>
      <w:r>
        <w:rPr>
          <w:rFonts w:ascii="Calibri" w:cs="Calibri" w:eastAsia="Calibri" w:hAnsi="Calibri"/>
          <w:b/>
          <w:bCs/>
          <w:color w:val="14161B"/>
          <w:sz w:val="20"/>
          <w:szCs w:val="20"/>
        </w:rPr>
        <w:t xml:space="preserve">Keep minutes</w:t>
      </w:r>
    </w:p>
    <w:p>
      <w:pPr>
        <w:spacing w:after="60" w:line="264"/>
        <w:jc w:val="both"/>
      </w:pPr>
      <w:r>
        <w:rPr>
          <w:rFonts w:ascii="Calibri" w:cs="Calibri" w:eastAsia="Calibri" w:hAnsi="Calibri"/>
          <w:sz w:val="19"/>
          <w:szCs w:val="19"/>
        </w:rPr>
        <w:t xml:space="preserve">Partner decisions above the thresholds in Clause 4.3 should be minuted. LLPs run informally between friends generate excellent records of nothing, and the absence surfaces at exactly the point a decision is disputed.</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Singapore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Requirements under the Limited Liability Partnerships Act 2005, the annual solvency declaration, controller registration obligations, and the tax treatment of LLP income and losses all change — have the agreement reviewed by a lawyer and the tax position by an accountant before formation.</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2026-08-22T06:55:30.789Z</dcterms:created>
  <dcterms:modified xsi:type="dcterms:W3CDTF">2026-08-22T06:55:30.790Z</dcterms:modified>
</cp:coreProperties>
</file>

<file path=docProps/custom.xml><?xml version="1.0" encoding="utf-8"?>
<Properties xmlns="http://schemas.openxmlformats.org/officeDocument/2006/custom-properties" xmlns:vt="http://schemas.openxmlformats.org/officeDocument/2006/docPropsVTypes"/>
</file>