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LETTER OF DEMAND</w:t>
      </w:r>
    </w:p>
    <w:p>
      <w:pPr>
        <w:spacing w:after="260"/>
        <w:jc w:val="center"/>
      </w:pPr>
      <w:r>
        <w:rPr>
          <w:rFonts w:ascii="Calibri" w:cs="Calibri" w:eastAsia="Calibri" w:hAnsi="Calibri"/>
          <w:i/>
          <w:iCs/>
          <w:color w:val="6E7480"/>
          <w:sz w:val="19"/>
          <w:szCs w:val="19"/>
        </w:rPr>
        <w:t xml:space="preserve">Recovering a debt or enforcing a contractual right</w:t>
      </w:r>
    </w:p>
    <w:p>
      <w:pPr>
        <w:spacing w:after="180" w:before="0" w:line="276"/>
        <w:jc w:val="both"/>
      </w:pPr>
      <w:r>
        <w:rPr>
          <w:rFonts w:ascii="Calibri" w:cs="Calibri" w:eastAsia="Calibri" w:hAnsi="Calibri"/>
          <w:i/>
          <w:iCs/>
          <w:color w:val="6E7480"/>
          <w:sz w:val="21"/>
          <w:szCs w:val="21"/>
        </w:rPr>
        <w:t xml:space="preserve">Singapore has no equivalent of the dishonoured-cheque criminal regime found in some jurisdictions. A bounced cheque here is a civil matter, and there is no statutory notice with a fixed window preceding a criminal complaint. What a letter of demand does is establish the claim clearly, start time running, and give the debtor a last opportunity before cost is incurred.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Creditor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Debtor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Debtor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 Individual / Partnership]</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Principal amount claimed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claimed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 </w:t>
            </w:r>
            <w:r>
              <w:rPr>
                <w:rFonts w:ascii="Calibri" w:cs="Calibri" w:eastAsia="Calibri" w:hAnsi="Calibri"/>
                <w:b/>
                <w:bCs/>
                <w:sz w:val="19"/>
                <w:szCs w:val="19"/>
              </w:rPr>
              <w:t xml:space="preserve">[contractual at ______% / statutory]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demanded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Basis of the claim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[Unpaid invoices / Breach of contract / Loan / Dishonoured cheque]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Oldest invoice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Limitation expires approximately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generally 6 years from the cause of action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Deadline given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[14]</w:t>
            </w:r>
            <w:r>
              <w:rPr>
                <w:rFonts w:ascii="Calibri" w:cs="Calibri" w:eastAsia="Calibri" w:hAnsi="Calibri"/>
                <w:sz w:val="19"/>
                <w:szCs w:val="19"/>
              </w:rPr>
              <w:t xml:space="preserve"> days from the date of the letter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Sent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post / Email / Hand delivery]</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SENDING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3855"/>
        <w:gridCol w:w="1543"/>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debt genuinely due and undisputed?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demand for a disputed sum invites a counterclaim</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underlying documents in order — contract, purchase order, invoices, delivery evidence?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is the evidence if it goes further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performed our own obligations?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Non-performance is the usual defence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amount arithmetically correct, including credits and part payments?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wrong figure undermines the whole letter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contractual interest rate, or do we rely on statutory interest?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what can be claimed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debtor solvent and worth pursuing?</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judgment against an empty company is worthless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correct legal entity named, with the right registered address?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Suing the wrong entity wastes time and cost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claim within the limitation period?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Generally six years from the cause of action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contract require mediation or arbitration first?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Ignoring a dispute clause can be costly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commercial relationship worth preserving?</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Tone should follow the answer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forum — Small Claims, Magistrates, District or High Court?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Depends on the amount and the nature of the claim</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tried a call first?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Most overdue invoices are administrative, not refusals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LETTER</w:t>
      </w:r>
    </w:p>
    <w:p>
      <w:pPr>
        <w:spacing w:after="140" w:before="0" w:line="276"/>
        <w:jc w:val="both"/>
      </w:pPr>
      <w:r>
        <w:rPr>
          <w:rFonts w:ascii="Calibri" w:cs="Calibri" w:eastAsia="Calibri" w:hAnsi="Calibri"/>
          <w:b/>
          <w:bCs/>
          <w:sz w:val="21"/>
          <w:szCs w:val="21"/>
        </w:rPr>
        <w:t xml:space="preserve">[CREDITOR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spacing w:after="12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  Our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BY </w:t>
      </w:r>
      <w:r>
        <w:rPr>
          <w:rFonts w:ascii="Calibri" w:cs="Calibri" w:eastAsia="Calibri" w:hAnsi="Calibri"/>
          <w:b/>
          <w:bCs/>
          <w:sz w:val="21"/>
          <w:szCs w:val="21"/>
        </w:rPr>
        <w:t xml:space="preserve">[REGISTERED POST AND EMAIL]</w:t>
      </w:r>
    </w:p>
    <w:p>
      <w:pPr>
        <w:spacing w:after="40" w:before="0" w:line="276"/>
        <w:jc w:val="both"/>
      </w:pPr>
      <w:r>
        <w:rPr>
          <w:rFonts w:ascii="Calibri" w:cs="Calibri" w:eastAsia="Calibri" w:hAnsi="Calibri"/>
          <w:b/>
          <w:bCs/>
          <w:sz w:val="21"/>
          <w:szCs w:val="21"/>
        </w:rPr>
        <w:t xml:space="preserve">[DEBTOR NAME]</w:t>
      </w:r>
      <w:r>
        <w:rPr>
          <w:rFonts w:ascii="Calibri" w:cs="Calibri" w:eastAsia="Calibri" w:hAnsi="Calibri"/>
          <w:sz w:val="21"/>
          <w:szCs w:val="21"/>
        </w:rPr>
        <w:t xml:space="preserve">  </w:t>
      </w:r>
      <w:r>
        <w:rPr>
          <w:rFonts w:ascii="Calibri" w:cs="Calibri" w:eastAsia="Calibri" w:hAnsi="Calibri"/>
          <w:b/>
          <w:bCs/>
          <w:sz w:val="21"/>
          <w:szCs w:val="21"/>
        </w:rPr>
        <w:t xml:space="preserve">[UEN]</w:t>
      </w:r>
    </w:p>
    <w:p>
      <w:pPr>
        <w:spacing w:after="40" w:before="0" w:line="276"/>
        <w:jc w:val="both"/>
      </w:pPr>
      <w:r>
        <w:rPr>
          <w:rFonts w:ascii="Calibri" w:cs="Calibri" w:eastAsia="Calibri" w:hAnsi="Calibri"/>
          <w:b/>
          <w:bCs/>
          <w:sz w:val="21"/>
          <w:szCs w:val="21"/>
        </w:rPr>
        <w:t xml:space="preserve">[REGISTERED ADDRESS]</w:t>
      </w:r>
    </w:p>
    <w:p>
      <w:pPr>
        <w:spacing w:after="140" w:before="0" w:line="276"/>
        <w:jc w:val="both"/>
      </w:pPr>
      <w:r>
        <w:rPr>
          <w:rFonts w:ascii="Calibri" w:cs="Calibri" w:eastAsia="Calibri" w:hAnsi="Calibri"/>
          <w:sz w:val="21"/>
          <w:szCs w:val="21"/>
        </w:rPr>
        <w:t xml:space="preserve">Attention: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20" w:before="0" w:line="276"/>
        <w:jc w:val="both"/>
      </w:pPr>
      <w:r>
        <w:rPr>
          <w:rFonts w:ascii="Calibri" w:cs="Calibri" w:eastAsia="Calibri" w:hAnsi="Calibri"/>
          <w:sz w:val="21"/>
          <w:szCs w:val="21"/>
        </w:rPr>
        <w:t xml:space="preserve">Dear Sirs,</w:t>
      </w:r>
    </w:p>
    <w:p>
      <w:pPr>
        <w:spacing w:after="140" w:before="0" w:line="276"/>
        <w:jc w:val="both"/>
      </w:pPr>
      <w:r>
        <w:rPr>
          <w:rFonts w:ascii="Calibri" w:cs="Calibri" w:eastAsia="Calibri" w:hAnsi="Calibri"/>
          <w:b/>
          <w:bCs/>
          <w:sz w:val="21"/>
          <w:szCs w:val="21"/>
        </w:rPr>
        <w:t xml:space="preserve">LETTER OF DEMAND — S$ </w:t>
      </w:r>
      <w:r>
        <w:rPr>
          <w:rFonts w:ascii="Calibri" w:cs="Calibri" w:eastAsia="Calibri" w:hAnsi="Calibri"/>
          <w:b/>
          <w:bCs/>
          <w:sz w:val="21"/>
          <w:szCs w:val="21"/>
        </w:rPr>
        <w:t xml:space="preserve">[AMOUNT]</w:t>
      </w:r>
    </w:p>
    <w:p>
      <w:pPr>
        <w:spacing w:after="120" w:before="0" w:line="276"/>
        <w:jc w:val="both"/>
      </w:pPr>
      <w:r>
        <w:rPr>
          <w:rFonts w:ascii="Calibri" w:cs="Calibri" w:eastAsia="Calibri" w:hAnsi="Calibri"/>
          <w:b/>
          <w:bCs/>
          <w:sz w:val="21"/>
          <w:szCs w:val="21"/>
        </w:rPr>
        <w:t xml:space="preserve">1. Background.</w:t>
      </w:r>
      <w:r>
        <w:rPr>
          <w:rFonts w:ascii="Calibri" w:cs="Calibri" w:eastAsia="Calibri" w:hAnsi="Calibri"/>
          <w:sz w:val="21"/>
          <w:szCs w:val="21"/>
        </w:rPr>
        <w:t xml:space="preserve"> </w:t>
      </w:r>
      <w:r>
        <w:rPr>
          <w:rFonts w:ascii="Calibri" w:cs="Calibri" w:eastAsia="Calibri" w:hAnsi="Calibri"/>
          <w:b/>
          <w:bCs/>
          <w:sz w:val="21"/>
          <w:szCs w:val="21"/>
        </w:rPr>
        <w:t xml:space="preserve">[SET OUT THE CONTRACT OR ARRANGEMENT — what was agreed, when, and what we supplied or did. Two or three sentences, factual.]</w:t>
      </w:r>
    </w:p>
    <w:p>
      <w:pPr>
        <w:spacing w:after="100" w:before="0" w:line="276"/>
        <w:jc w:val="both"/>
      </w:pPr>
      <w:r>
        <w:rPr>
          <w:rFonts w:ascii="Calibri" w:cs="Calibri" w:eastAsia="Calibri" w:hAnsi="Calibri"/>
          <w:b/>
          <w:bCs/>
          <w:sz w:val="21"/>
          <w:szCs w:val="21"/>
        </w:rPr>
        <w:t xml:space="preserve">2. Amount outstanding.</w:t>
      </w:r>
      <w:r>
        <w:rPr>
          <w:rFonts w:ascii="Calibri" w:cs="Calibri" w:eastAsia="Calibri" w:hAnsi="Calibri"/>
          <w:sz w:val="21"/>
          <w:szCs w:val="21"/>
        </w:rPr>
        <w:t xml:space="preserve"> The following amounts are due and remain unpaid: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349"/>
        <w:gridCol w:w="1349"/>
        <w:gridCol w:w="1927"/>
        <w:gridCol w:w="1737"/>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 reference</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Due date</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c>
          <w:tcPr>
            <w:tcW w:type="dxa" w:w="173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 overdue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payments received</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credit notes</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1737"/>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Principal outstanding</w:t>
            </w:r>
          </w:p>
        </w:tc>
        <w:tc>
          <w:tcPr>
            <w:tcW w:type="dxa" w:w="1349"/>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to the date of this letter</w:t>
            </w:r>
          </w:p>
        </w:tc>
        <w:tc>
          <w:tcPr>
            <w:tcW w:type="dxa" w:w="1349"/>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due</w:t>
            </w:r>
          </w:p>
        </w:tc>
        <w:tc>
          <w:tcPr>
            <w:tcW w:type="dxa" w:w="1349"/>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center"/>
            </w:pPr>
          </w:p>
        </w:tc>
      </w:tr>
    </w:tbl>
    <w:p>
      <w:pPr>
        <w:spacing w:after="140"/>
      </w:pPr>
    </w:p>
    <w:p>
      <w:pPr>
        <w:spacing w:after="120" w:before="0" w:line="276"/>
        <w:jc w:val="both"/>
      </w:pPr>
      <w:r>
        <w:rPr>
          <w:rFonts w:ascii="Calibri" w:cs="Calibri" w:eastAsia="Calibri" w:hAnsi="Calibri"/>
          <w:sz w:val="21"/>
          <w:szCs w:val="21"/>
        </w:rPr>
        <w:t xml:space="preserve">Copies of the invoices </w:t>
      </w:r>
      <w:r>
        <w:rPr>
          <w:rFonts w:ascii="Calibri" w:cs="Calibri" w:eastAsia="Calibri" w:hAnsi="Calibri"/>
          <w:b/>
          <w:bCs/>
          <w:sz w:val="21"/>
          <w:szCs w:val="21"/>
        </w:rPr>
        <w:t xml:space="preserve">[and delivery documentation]</w:t>
      </w:r>
      <w:r>
        <w:rPr>
          <w:rFonts w:ascii="Calibri" w:cs="Calibri" w:eastAsia="Calibri" w:hAnsi="Calibri"/>
          <w:sz w:val="21"/>
          <w:szCs w:val="21"/>
        </w:rPr>
        <w:t xml:space="preserve"> are enclosed.</w:t>
      </w:r>
    </w:p>
    <w:p>
      <w:pPr>
        <w:spacing w:after="120" w:before="0" w:line="276"/>
        <w:jc w:val="both"/>
      </w:pPr>
      <w:r>
        <w:rPr>
          <w:rFonts w:ascii="Calibri" w:cs="Calibri" w:eastAsia="Calibri" w:hAnsi="Calibri"/>
          <w:b/>
          <w:bCs/>
          <w:sz w:val="21"/>
          <w:szCs w:val="21"/>
        </w:rPr>
        <w:t xml:space="preserve">3. Demand.</w:t>
      </w:r>
      <w:r>
        <w:rPr>
          <w:rFonts w:ascii="Calibri" w:cs="Calibri" w:eastAsia="Calibri" w:hAnsi="Calibri"/>
          <w:sz w:val="21"/>
          <w:szCs w:val="21"/>
        </w:rPr>
        <w:t xml:space="preserve"> We demand payment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within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of the date of this letter, being by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Payment should be made to: </w:t>
      </w:r>
      <w:r>
        <w:rPr>
          <w:rFonts w:ascii="Calibri" w:cs="Calibri" w:eastAsia="Calibri" w:hAnsi="Calibri"/>
          <w:b/>
          <w:bCs/>
          <w:sz w:val="21"/>
          <w:szCs w:val="21"/>
        </w:rPr>
        <w:t xml:space="preserve">[BANK]</w:t>
      </w:r>
      <w:r>
        <w:rPr>
          <w:rFonts w:ascii="Calibri" w:cs="Calibri" w:eastAsia="Calibri" w:hAnsi="Calibri"/>
          <w:sz w:val="21"/>
          <w:szCs w:val="21"/>
        </w:rPr>
        <w:t xml:space="preserve">, account name </w:t>
      </w:r>
      <w:r>
        <w:rPr>
          <w:rFonts w:ascii="Calibri" w:cs="Calibri" w:eastAsia="Calibri" w:hAnsi="Calibri"/>
          <w:b/>
          <w:bCs/>
          <w:sz w:val="21"/>
          <w:szCs w:val="21"/>
        </w:rPr>
        <w:t xml:space="preserve">[NAME]</w:t>
      </w:r>
      <w:r>
        <w:rPr>
          <w:rFonts w:ascii="Calibri" w:cs="Calibri" w:eastAsia="Calibri" w:hAnsi="Calibri"/>
          <w:sz w:val="21"/>
          <w:szCs w:val="21"/>
        </w:rPr>
        <w:t xml:space="preserve">, account number </w:t>
      </w:r>
      <w:r>
        <w:rPr>
          <w:rFonts w:ascii="Calibri" w:cs="Calibri" w:eastAsia="Calibri" w:hAnsi="Calibri"/>
          <w:b/>
          <w:bCs/>
          <w:sz w:val="21"/>
          <w:szCs w:val="21"/>
        </w:rPr>
        <w:t xml:space="preserve">[NUMBER]</w:t>
      </w:r>
      <w:r>
        <w:rPr>
          <w:rFonts w:ascii="Calibri" w:cs="Calibri" w:eastAsia="Calibri" w:hAnsi="Calibri"/>
          <w:sz w:val="21"/>
          <w:szCs w:val="21"/>
        </w:rPr>
        <w:t xml:space="preserve">, quoting reference </w:t>
      </w:r>
      <w:r>
        <w:rPr>
          <w:rFonts w:ascii="Calibri" w:cs="Calibri" w:eastAsia="Calibri" w:hAnsi="Calibri"/>
          <w:b/>
          <w:bCs/>
          <w:sz w:val="21"/>
          <w:szCs w:val="21"/>
        </w:rPr>
        <w:t xml:space="preserve">[REF]</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4. Interest.</w:t>
      </w:r>
      <w:r>
        <w:rPr>
          <w:rFonts w:ascii="Calibri" w:cs="Calibri" w:eastAsia="Calibri" w:hAnsi="Calibri"/>
          <w:sz w:val="21"/>
          <w:szCs w:val="21"/>
        </w:rPr>
        <w:t xml:space="preserve"> Interest continues to accrue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w:t>
      </w:r>
      <w:r>
        <w:rPr>
          <w:rFonts w:ascii="Calibri" w:cs="Calibri" w:eastAsia="Calibri" w:hAnsi="Calibri"/>
          <w:b/>
          <w:bCs/>
          <w:sz w:val="21"/>
          <w:szCs w:val="21"/>
        </w:rPr>
        <w:t xml:space="preserve">[under clause ______ of the contract]</w:t>
      </w:r>
      <w:r>
        <w:rPr>
          <w:rFonts w:ascii="Calibri" w:cs="Calibri" w:eastAsia="Calibri" w:hAnsi="Calibri"/>
          <w:sz w:val="21"/>
          <w:szCs w:val="21"/>
        </w:rPr>
        <w:t xml:space="preserve"> until payment in full.</w:t>
      </w:r>
    </w:p>
    <w:p>
      <w:pPr>
        <w:spacing w:after="120" w:before="0" w:line="276"/>
        <w:jc w:val="both"/>
      </w:pPr>
      <w:r>
        <w:rPr>
          <w:rFonts w:ascii="Calibri" w:cs="Calibri" w:eastAsia="Calibri" w:hAnsi="Calibri"/>
          <w:b/>
          <w:bCs/>
          <w:sz w:val="21"/>
          <w:szCs w:val="21"/>
        </w:rPr>
        <w:t xml:space="preserve">5. If payment is not received.</w:t>
      </w:r>
      <w:r>
        <w:rPr>
          <w:rFonts w:ascii="Calibri" w:cs="Calibri" w:eastAsia="Calibri" w:hAnsi="Calibri"/>
          <w:sz w:val="21"/>
          <w:szCs w:val="21"/>
        </w:rPr>
        <w:t xml:space="preserve"> If we do not receive payment by </w:t>
      </w:r>
      <w:r>
        <w:rPr>
          <w:rFonts w:ascii="Calibri" w:cs="Calibri" w:eastAsia="Calibri" w:hAnsi="Calibri"/>
          <w:b/>
          <w:bCs/>
          <w:sz w:val="21"/>
          <w:szCs w:val="21"/>
        </w:rPr>
        <w:t xml:space="preserve">[DATE]</w:t>
      </w:r>
      <w:r>
        <w:rPr>
          <w:rFonts w:ascii="Calibri" w:cs="Calibri" w:eastAsia="Calibri" w:hAnsi="Calibri"/>
          <w:sz w:val="21"/>
          <w:szCs w:val="21"/>
        </w:rPr>
        <w:t xml:space="preserve">, we reserve the right to commence legal proceedings against you without further notice, and to claim the outstanding sum, interest and costs. </w:t>
      </w:r>
      <w:r>
        <w:rPr>
          <w:rFonts w:ascii="Calibri" w:cs="Calibri" w:eastAsia="Calibri" w:hAnsi="Calibri"/>
          <w:b/>
          <w:bCs/>
          <w:sz w:val="21"/>
          <w:szCs w:val="21"/>
        </w:rPr>
        <w:t xml:space="preserve">[Where the debtor is a company]</w:t>
      </w:r>
      <w:r>
        <w:rPr>
          <w:rFonts w:ascii="Calibri" w:cs="Calibri" w:eastAsia="Calibri" w:hAnsi="Calibri"/>
          <w:sz w:val="21"/>
          <w:szCs w:val="21"/>
        </w:rPr>
        <w:t xml:space="preserve"> We also reserve the right to take such other steps as may be available to us in respect of an undisputed and unpaid debt.</w:t>
      </w:r>
    </w:p>
    <w:p>
      <w:pPr>
        <w:spacing w:after="120" w:before="0" w:line="276"/>
        <w:jc w:val="both"/>
      </w:pPr>
      <w:r>
        <w:rPr>
          <w:rFonts w:ascii="Calibri" w:cs="Calibri" w:eastAsia="Calibri" w:hAnsi="Calibri"/>
          <w:b/>
          <w:bCs/>
          <w:sz w:val="21"/>
          <w:szCs w:val="21"/>
        </w:rPr>
        <w:t xml:space="preserve">6. Discussion.</w:t>
      </w:r>
      <w:r>
        <w:rPr>
          <w:rFonts w:ascii="Calibri" w:cs="Calibri" w:eastAsia="Calibri" w:hAnsi="Calibri"/>
          <w:sz w:val="21"/>
          <w:szCs w:val="21"/>
        </w:rPr>
        <w:t xml:space="preserve"> If you dispute any part of this claim, please set out the basis in writing within the same period so that we can consider it. If you are unable to pay in full and wish to propose a payment arrangement,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[PHONE]</w:t>
      </w:r>
      <w:r>
        <w:rPr>
          <w:rFonts w:ascii="Calibri" w:cs="Calibri" w:eastAsia="Calibri" w:hAnsi="Calibri"/>
          <w:sz w:val="21"/>
          <w:szCs w:val="21"/>
        </w:rPr>
        <w:t xml:space="preserve"> — we would rather resolve this commercially than through the courts.</w:t>
      </w:r>
    </w:p>
    <w:p>
      <w:pPr>
        <w:spacing w:after="160" w:before="0" w:line="276"/>
        <w:jc w:val="both"/>
      </w:pPr>
      <w:r>
        <w:rPr>
          <w:rFonts w:ascii="Calibri" w:cs="Calibri" w:eastAsia="Calibri" w:hAnsi="Calibri"/>
          <w:sz w:val="21"/>
          <w:szCs w:val="21"/>
        </w:rPr>
        <w:t xml:space="preserve">This letter is written without prejudice to our rights, all of which are reserved.</w:t>
      </w:r>
    </w:p>
    <w:p>
      <w:pPr>
        <w:spacing w:after="20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[CREDITOR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ESCALATION OPTIONS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4049"/>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 suitable</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Points to note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arrangement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Debtor is willing but cash-constrained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it in writing, with an acknowledgement of the debt — which also restarts limitation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Mediation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Relationship worth preserving; genuine dispute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Faster and cheaper than litigation; the contract may require it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Small Claims Tribunal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Small claims within the prescribed limit and category</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lawyers; quick and inexpensive — confirm the current limit and eligible claim types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Magistrates’ or District Court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Claims within the respective civil jurisdiction limits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current thresholds before filing</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High Court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Larger claims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Costs are significant — assess recoverability first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Arbitration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contract requires it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clause; commencing court proceedings in breach of it is costly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Statutory demand and winding up</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debtor, debt undisputed and above the prescribed threshold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Powerful but not a debt collection tool</w:t>
            </w:r>
            <w:r>
              <w:rPr>
                <w:rFonts w:ascii="Calibri" w:cs="Calibri" w:eastAsia="Calibri" w:hAnsi="Calibri"/>
                <w:sz w:val="17"/>
                <w:szCs w:val="17"/>
              </w:rPr>
              <w:t xml:space="preserve"> — see the notes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Bankruptcy proceedings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Individual debtor, debt above the prescribed threshold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 advice; the thresholds and procedure are specific</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Write off</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Debtor insolvent or untraceable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Consider the bad debt relief position for GST already accounted for</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A statutory demand followed by a winding-up application is frequently threatened and often misused. Where the debt is genuinely disputed on substantial grounds, a winding-up application can be struck out with costs and can expose the creditor to a claim. Take advice before using it as leverage.</w:t>
      </w:r>
    </w:p>
    <w:p>
      <w:pPr>
        <w:keepNext/>
        <w:spacing w:after="120" w:before="280"/>
        <w:outlineLvl w:val="0"/>
      </w:pPr>
      <w:r>
        <w:rPr>
          <w:rFonts w:ascii="Calibri" w:cs="Calibri" w:eastAsia="Calibri" w:hAnsi="Calibri"/>
          <w:b/>
          <w:bCs/>
          <w:color w:val="14161B"/>
          <w:sz w:val="22"/>
          <w:szCs w:val="22"/>
        </w:rPr>
        <w:t xml:space="preserve">4. AFTER SENDING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240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Proof of delivery retained — registered post receipt, email delivery record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sending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Response, if any, recorded and assessed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receipt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debt is disputed, the dispute evaluated on its merits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days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 payment plan is agreed, documented with an acknowledgement of debt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agreement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 response, decision taken on escalation</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the deadline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Recoverability assessed — is the debtor solvent and worth suing?</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proceedings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advice taken where the amount justifies it</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proceedings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Limitation period diarised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Bad debt relief for GST considered where written off</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write-off</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Credit terms for this customer reviewed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There is no dishonoured-cheque criminal regime here</w:t>
      </w:r>
    </w:p>
    <w:p>
      <w:pPr>
        <w:spacing w:after="60" w:line="264"/>
        <w:jc w:val="both"/>
      </w:pPr>
      <w:r>
        <w:rPr>
          <w:rFonts w:ascii="Calibri" w:cs="Calibri" w:eastAsia="Calibri" w:hAnsi="Calibri"/>
          <w:sz w:val="19"/>
          <w:szCs w:val="19"/>
        </w:rPr>
        <w:t xml:space="preserve">Businesses arriving from jurisdictions where a bounced cheque triggers a statutory notice and a criminal complaint frequently expect the same in Singapore. It does not exist. A dishonoured cheque is evidence of an unpaid debt and is pursued as a civil claim like any other. Template letters referring to a statutory notice period for cheque dishonour are imported and wrong.</w:t>
      </w:r>
    </w:p>
    <w:p>
      <w:pPr>
        <w:keepNext/>
        <w:spacing w:after="40" w:before="140"/>
      </w:pPr>
      <w:r>
        <w:rPr>
          <w:rFonts w:ascii="Calibri" w:cs="Calibri" w:eastAsia="Calibri" w:hAnsi="Calibri"/>
          <w:b/>
          <w:bCs/>
          <w:color w:val="14161B"/>
          <w:sz w:val="20"/>
          <w:szCs w:val="20"/>
        </w:rPr>
        <w:t xml:space="preserve">Call before you write</w:t>
      </w:r>
    </w:p>
    <w:p>
      <w:pPr>
        <w:spacing w:after="60" w:line="264"/>
        <w:jc w:val="both"/>
      </w:pPr>
      <w:r>
        <w:rPr>
          <w:rFonts w:ascii="Calibri" w:cs="Calibri" w:eastAsia="Calibri" w:hAnsi="Calibri"/>
          <w:sz w:val="19"/>
          <w:szCs w:val="19"/>
        </w:rPr>
        <w:t xml:space="preserve">A large proportion of overdue invoices are administrative — the invoice went to the wrong address, the approver was on leave, a purchase order reference is missing. A phone call resolves those in minutes and costs nothing in goodwill. Reserve the letter for genuine non-payment.</w:t>
      </w:r>
    </w:p>
    <w:p>
      <w:pPr>
        <w:keepNext/>
        <w:spacing w:after="40" w:before="140"/>
      </w:pPr>
      <w:r>
        <w:rPr>
          <w:rFonts w:ascii="Calibri" w:cs="Calibri" w:eastAsia="Calibri" w:hAnsi="Calibri"/>
          <w:b/>
          <w:bCs/>
          <w:color w:val="14161B"/>
          <w:sz w:val="20"/>
          <w:szCs w:val="20"/>
        </w:rPr>
        <w:t xml:space="preserve">Check the entity and the address</w:t>
      </w:r>
    </w:p>
    <w:p>
      <w:pPr>
        <w:spacing w:after="60" w:line="264"/>
        <w:jc w:val="both"/>
      </w:pPr>
      <w:r>
        <w:rPr>
          <w:rFonts w:ascii="Calibri" w:cs="Calibri" w:eastAsia="Calibri" w:hAnsi="Calibri"/>
          <w:sz w:val="19"/>
          <w:szCs w:val="19"/>
        </w:rPr>
        <w:t xml:space="preserve">Naming the trading name rather than the registered entity, or using an old address, wastes time and can invalidate service later. Take the details from the current business profile, not from the invoice header.</w:t>
      </w:r>
    </w:p>
    <w:p>
      <w:pPr>
        <w:keepNext/>
        <w:spacing w:after="40" w:before="140"/>
      </w:pPr>
      <w:r>
        <w:rPr>
          <w:rFonts w:ascii="Calibri" w:cs="Calibri" w:eastAsia="Calibri" w:hAnsi="Calibri"/>
          <w:b/>
          <w:bCs/>
          <w:color w:val="14161B"/>
          <w:sz w:val="20"/>
          <w:szCs w:val="20"/>
        </w:rPr>
        <w:t xml:space="preserve">Get the arithmetic right</w:t>
      </w:r>
    </w:p>
    <w:p>
      <w:pPr>
        <w:spacing w:after="60" w:line="264"/>
        <w:jc w:val="both"/>
      </w:pPr>
      <w:r>
        <w:rPr>
          <w:rFonts w:ascii="Calibri" w:cs="Calibri" w:eastAsia="Calibri" w:hAnsi="Calibri"/>
          <w:sz w:val="19"/>
          <w:szCs w:val="19"/>
        </w:rPr>
        <w:t xml:space="preserve">Credits, part payments and disputed line items must all be reflected. A demand for a figure the debtor can show is wrong hands them the initiative and undermines everything else in the letter.</w:t>
      </w:r>
    </w:p>
    <w:p>
      <w:pPr>
        <w:keepNext/>
        <w:spacing w:after="40" w:before="140"/>
      </w:pPr>
      <w:r>
        <w:rPr>
          <w:rFonts w:ascii="Calibri" w:cs="Calibri" w:eastAsia="Calibri" w:hAnsi="Calibri"/>
          <w:b/>
          <w:bCs/>
          <w:color w:val="14161B"/>
          <w:sz w:val="20"/>
          <w:szCs w:val="20"/>
        </w:rPr>
        <w:t xml:space="preserve">Say what happens next, and mean it</w:t>
      </w:r>
    </w:p>
    <w:p>
      <w:pPr>
        <w:spacing w:after="60" w:line="264"/>
        <w:jc w:val="both"/>
      </w:pPr>
      <w:r>
        <w:rPr>
          <w:rFonts w:ascii="Calibri" w:cs="Calibri" w:eastAsia="Calibri" w:hAnsi="Calibri"/>
          <w:sz w:val="19"/>
          <w:szCs w:val="19"/>
        </w:rPr>
        <w:t xml:space="preserve">A letter threatening immediate proceedings, followed by three months of silence, teaches the debtor that the threat is empty — and every subsequent letter is discounted. Only state what you are prepared to do.</w:t>
      </w:r>
    </w:p>
    <w:p>
      <w:pPr>
        <w:keepNext/>
        <w:spacing w:after="40" w:before="140"/>
      </w:pPr>
      <w:r>
        <w:rPr>
          <w:rFonts w:ascii="Calibri" w:cs="Calibri" w:eastAsia="Calibri" w:hAnsi="Calibri"/>
          <w:b/>
          <w:bCs/>
          <w:color w:val="14161B"/>
          <w:sz w:val="20"/>
          <w:szCs w:val="20"/>
        </w:rPr>
        <w:t xml:space="preserve">Leave a route to resolve</w:t>
      </w:r>
    </w:p>
    <w:p>
      <w:pPr>
        <w:spacing w:after="60" w:line="264"/>
        <w:jc w:val="both"/>
      </w:pPr>
      <w:r>
        <w:rPr>
          <w:rFonts w:ascii="Calibri" w:cs="Calibri" w:eastAsia="Calibri" w:hAnsi="Calibri"/>
          <w:sz w:val="19"/>
          <w:szCs w:val="19"/>
        </w:rPr>
        <w:t xml:space="preserve">Paragraph 6 invites either a substantive dispute or a payment proposal. Most commercial debts are settled rather than litigated, and a letter that closes off discussion makes settlement harder while making litigation no more likely to succeed.</w:t>
      </w:r>
    </w:p>
    <w:p>
      <w:pPr>
        <w:keepNext/>
        <w:spacing w:after="40" w:before="140"/>
      </w:pPr>
      <w:r>
        <w:rPr>
          <w:rFonts w:ascii="Calibri" w:cs="Calibri" w:eastAsia="Calibri" w:hAnsi="Calibri"/>
          <w:b/>
          <w:bCs/>
          <w:color w:val="14161B"/>
          <w:sz w:val="20"/>
          <w:szCs w:val="20"/>
        </w:rPr>
        <w:t xml:space="preserve">An acknowledgement of debt restarts limitation</w:t>
      </w:r>
    </w:p>
    <w:p>
      <w:pPr>
        <w:spacing w:after="60" w:line="264"/>
        <w:jc w:val="both"/>
      </w:pPr>
      <w:r>
        <w:rPr>
          <w:rFonts w:ascii="Calibri" w:cs="Calibri" w:eastAsia="Calibri" w:hAnsi="Calibri"/>
          <w:sz w:val="19"/>
          <w:szCs w:val="19"/>
        </w:rPr>
        <w:t xml:space="preserve">A written acknowledgement, or a part payment, generally restarts the limitation period. Where a payment plan is agreed, documenting it with an acknowledgement is valuable for exactly that reason — as well as making the debt easier to prove.</w:t>
      </w:r>
    </w:p>
    <w:p>
      <w:pPr>
        <w:keepNext/>
        <w:spacing w:after="40" w:before="140"/>
      </w:pPr>
      <w:r>
        <w:rPr>
          <w:rFonts w:ascii="Calibri" w:cs="Calibri" w:eastAsia="Calibri" w:hAnsi="Calibri"/>
          <w:b/>
          <w:bCs/>
          <w:color w:val="14161B"/>
          <w:sz w:val="20"/>
          <w:szCs w:val="20"/>
        </w:rPr>
        <w:t xml:space="preserve">Watch limitation</w:t>
      </w:r>
    </w:p>
    <w:p>
      <w:pPr>
        <w:spacing w:after="60" w:line="264"/>
        <w:jc w:val="both"/>
      </w:pPr>
      <w:r>
        <w:rPr>
          <w:rFonts w:ascii="Calibri" w:cs="Calibri" w:eastAsia="Calibri" w:hAnsi="Calibri"/>
          <w:sz w:val="19"/>
          <w:szCs w:val="19"/>
        </w:rPr>
        <w:t xml:space="preserve">Contractual claims are generally subject to a six-year limitation period from the cause of action. Debts that sit on a ledger for years quietly become unenforceable. Diarise the date at the outset, as step 8 requires.</w:t>
      </w:r>
    </w:p>
    <w:p>
      <w:pPr>
        <w:keepNext/>
        <w:spacing w:after="40" w:before="140"/>
      </w:pPr>
      <w:r>
        <w:rPr>
          <w:rFonts w:ascii="Calibri" w:cs="Calibri" w:eastAsia="Calibri" w:hAnsi="Calibri"/>
          <w:b/>
          <w:bCs/>
          <w:color w:val="14161B"/>
          <w:sz w:val="20"/>
          <w:szCs w:val="20"/>
        </w:rPr>
        <w:t xml:space="preserve">Check the dispute resolution clause first</w:t>
      </w:r>
    </w:p>
    <w:p>
      <w:pPr>
        <w:spacing w:after="60" w:line="264"/>
        <w:jc w:val="both"/>
      </w:pPr>
      <w:r>
        <w:rPr>
          <w:rFonts w:ascii="Calibri" w:cs="Calibri" w:eastAsia="Calibri" w:hAnsi="Calibri"/>
          <w:sz w:val="19"/>
          <w:szCs w:val="19"/>
        </w:rPr>
        <w:t xml:space="preserve">Where the contract requires mediation or arbitration, commencing court proceedings in breach of it can result in a stay and an adverse costs order. Read the clause before choosing the route.</w:t>
      </w:r>
    </w:p>
    <w:p>
      <w:pPr>
        <w:keepNext/>
        <w:spacing w:after="40" w:before="140"/>
      </w:pPr>
      <w:r>
        <w:rPr>
          <w:rFonts w:ascii="Calibri" w:cs="Calibri" w:eastAsia="Calibri" w:hAnsi="Calibri"/>
          <w:b/>
          <w:bCs/>
          <w:color w:val="14161B"/>
          <w:sz w:val="20"/>
          <w:szCs w:val="20"/>
        </w:rPr>
        <w:t xml:space="preserve">Statutory demands are not a collection tool</w:t>
      </w:r>
    </w:p>
    <w:p>
      <w:pPr>
        <w:spacing w:after="60" w:line="264"/>
        <w:jc w:val="both"/>
      </w:pPr>
      <w:r>
        <w:rPr>
          <w:rFonts w:ascii="Calibri" w:cs="Calibri" w:eastAsia="Calibri" w:hAnsi="Calibri"/>
          <w:sz w:val="19"/>
          <w:szCs w:val="19"/>
        </w:rPr>
        <w:t xml:space="preserve">Threatening winding up to pressure payment of a debt that is genuinely disputed on substantial grounds is an abuse of process. The application can be struck out with costs, and the creditor may face a claim. Where the debt is truly undisputed and the debtor simply will not pay, it is a powerful remedy — but take advice before deploying it.</w:t>
      </w:r>
    </w:p>
    <w:p>
      <w:pPr>
        <w:keepNext/>
        <w:spacing w:after="40" w:before="140"/>
      </w:pPr>
      <w:r>
        <w:rPr>
          <w:rFonts w:ascii="Calibri" w:cs="Calibri" w:eastAsia="Calibri" w:hAnsi="Calibri"/>
          <w:b/>
          <w:bCs/>
          <w:color w:val="14161B"/>
          <w:sz w:val="20"/>
          <w:szCs w:val="20"/>
        </w:rPr>
        <w:t xml:space="preserve">Assess recoverability before spending</w:t>
      </w:r>
    </w:p>
    <w:p>
      <w:pPr>
        <w:spacing w:after="60" w:line="264"/>
        <w:jc w:val="both"/>
      </w:pPr>
      <w:r>
        <w:rPr>
          <w:rFonts w:ascii="Calibri" w:cs="Calibri" w:eastAsia="Calibri" w:hAnsi="Calibri"/>
          <w:sz w:val="19"/>
          <w:szCs w:val="19"/>
        </w:rPr>
        <w:t xml:space="preserve">A judgment against a company with no assets is an expensive piece of paper. Check the debtor’s filed accounts, whether there are registered charges over its assets, and whether other creditors are already enforcing, before committing to proceedings.</w:t>
      </w:r>
    </w:p>
    <w:p>
      <w:pPr>
        <w:keepNext/>
        <w:spacing w:after="40" w:before="140"/>
      </w:pPr>
      <w:r>
        <w:rPr>
          <w:rFonts w:ascii="Calibri" w:cs="Calibri" w:eastAsia="Calibri" w:hAnsi="Calibri"/>
          <w:b/>
          <w:bCs/>
          <w:color w:val="14161B"/>
          <w:sz w:val="20"/>
          <w:szCs w:val="20"/>
        </w:rPr>
        <w:t xml:space="preserve">Choose the right forum</w:t>
      </w:r>
    </w:p>
    <w:p>
      <w:pPr>
        <w:spacing w:after="60" w:line="264"/>
        <w:jc w:val="both"/>
      </w:pPr>
      <w:r>
        <w:rPr>
          <w:rFonts w:ascii="Calibri" w:cs="Calibri" w:eastAsia="Calibri" w:hAnsi="Calibri"/>
          <w:sz w:val="19"/>
          <w:szCs w:val="19"/>
        </w:rPr>
        <w:t xml:space="preserve">Small claims, magistrates’ and district courts each have jurisdictional limits, and the small claims route is limited to certain categories of claim. Confirm the current thresholds and eligibility before filing — they change, and filing in the wrong forum wastes the fee and the time.</w:t>
      </w:r>
    </w:p>
    <w:p>
      <w:pPr>
        <w:keepNext/>
        <w:spacing w:after="40" w:before="140"/>
      </w:pPr>
      <w:r>
        <w:rPr>
          <w:rFonts w:ascii="Calibri" w:cs="Calibri" w:eastAsia="Calibri" w:hAnsi="Calibri"/>
          <w:b/>
          <w:bCs/>
          <w:color w:val="14161B"/>
          <w:sz w:val="20"/>
          <w:szCs w:val="20"/>
        </w:rPr>
        <w:t xml:space="preserve">Consider bad debt relief for GST</w:t>
      </w:r>
    </w:p>
    <w:p>
      <w:pPr>
        <w:spacing w:after="60" w:line="264"/>
        <w:jc w:val="both"/>
      </w:pPr>
      <w:r>
        <w:rPr>
          <w:rFonts w:ascii="Calibri" w:cs="Calibri" w:eastAsia="Calibri" w:hAnsi="Calibri"/>
          <w:sz w:val="19"/>
          <w:szCs w:val="19"/>
        </w:rPr>
        <w:t xml:space="preserve">Where GST has been accounted for on a supply that is never paid for, relief may be available on write-off subject to conditions. It is routinely forgotten, and it is real money.</w:t>
      </w:r>
    </w:p>
    <w:p>
      <w:pPr>
        <w:keepNext/>
        <w:spacing w:after="40" w:before="140"/>
      </w:pPr>
      <w:r>
        <w:rPr>
          <w:rFonts w:ascii="Calibri" w:cs="Calibri" w:eastAsia="Calibri" w:hAnsi="Calibri"/>
          <w:b/>
          <w:bCs/>
          <w:color w:val="14161B"/>
          <w:sz w:val="20"/>
          <w:szCs w:val="20"/>
        </w:rPr>
        <w:t xml:space="preserve">Fix the cause, not just the symptom</w:t>
      </w:r>
    </w:p>
    <w:p>
      <w:pPr>
        <w:spacing w:after="60" w:line="264"/>
        <w:jc w:val="both"/>
      </w:pPr>
      <w:r>
        <w:rPr>
          <w:rFonts w:ascii="Calibri" w:cs="Calibri" w:eastAsia="Calibri" w:hAnsi="Calibri"/>
          <w:sz w:val="19"/>
          <w:szCs w:val="19"/>
        </w:rPr>
        <w:t xml:space="preserve">A debt that reached a letter of demand usually reflects a credit control gap — no credit check, terms never agreed, invoices sent late, no follow-up until ninety days. Step 10 asks the question that prevents the next 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Court jurisdictional limits, Small Claims Tribunal eligibility and limits, statutory demand and bankruptcy thresholds, limitation periods and GST bad debt relief conditions all change — confirm the current position and take legal advice before commencing proceedings or issuing a statutory demand.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2026-08-22T06:55:31.022Z</dcterms:created>
  <dcterms:modified xsi:type="dcterms:W3CDTF">2026-08-22T06:55:31.022Z</dcterms:modified>
</cp:coreProperties>
</file>

<file path=docProps/custom.xml><?xml version="1.0" encoding="utf-8"?>
<Properties xmlns="http://schemas.openxmlformats.org/officeDocument/2006/custom-properties" xmlns:vt="http://schemas.openxmlformats.org/officeDocument/2006/docPropsVTypes"/>
</file>