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KEY EMPLOYMENT TERMS</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Issuing written key employment terms is a statutory obligation, not a courtesy. They must be given to every covered employee within fourteen days of starting work, and they are the first document the Ministry of Manpower or the Tripartite Alliance for Dispute Management will ask to see. An employer that issues an offer letter and nothing further has not complied.</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w:t>
      </w:r>
      <w:r>
        <w:rPr>
          <w:rFonts w:ascii="Calibri" w:cs="Calibri" w:eastAsia="Calibri" w:hAnsi="Calibri"/>
          <w:b/>
          <w:bCs/>
          <w:sz w:val="21"/>
          <w:szCs w:val="21"/>
        </w:rPr>
        <w:t xml:space="preserve">[REGISTERED ADDRESS]</w:t>
      </w:r>
    </w:p>
    <w:p>
      <w:pPr>
        <w:spacing w:after="40" w:before="0" w:line="276"/>
        <w:jc w:val="both"/>
      </w:pPr>
      <w:r>
        <w:rPr>
          <w:rFonts w:ascii="Calibri" w:cs="Calibri" w:eastAsia="Calibri" w:hAnsi="Calibri"/>
          <w:sz w:val="21"/>
          <w:szCs w:val="21"/>
        </w:rPr>
        <w:t xml:space="preserve">Issued to: </w:t>
      </w:r>
      <w:r>
        <w:rPr>
          <w:rFonts w:ascii="Calibri" w:cs="Calibri" w:eastAsia="Calibri" w:hAnsi="Calibri"/>
          <w:b/>
          <w:bCs/>
          <w:sz w:val="21"/>
          <w:szCs w:val="21"/>
        </w:rPr>
        <w:t xml:space="preserve">[EMPLOYEE NAME]</w:t>
      </w:r>
      <w:r>
        <w:rPr>
          <w:rFonts w:ascii="Calibri" w:cs="Calibri" w:eastAsia="Calibri" w:hAnsi="Calibri"/>
          <w:sz w:val="21"/>
          <w:szCs w:val="21"/>
        </w:rPr>
        <w:t xml:space="preserve">  Date of issue: </w:t>
      </w:r>
      <w:r>
        <w:rPr>
          <w:rFonts w:ascii="Calibri" w:cs="Calibri" w:eastAsia="Calibri" w:hAnsi="Calibri"/>
          <w:b/>
          <w:bCs/>
          <w:sz w:val="21"/>
          <w:szCs w:val="21"/>
        </w:rPr>
        <w:t xml:space="preserve">[DATE]</w:t>
      </w:r>
    </w:p>
    <w:p>
      <w:pPr>
        <w:spacing w:after="160" w:before="0" w:line="276"/>
        <w:jc w:val="both"/>
      </w:pPr>
      <w:r>
        <w:rPr>
          <w:rFonts w:ascii="Calibri" w:cs="Calibri" w:eastAsia="Calibri" w:hAnsi="Calibri"/>
          <w:i/>
          <w:iCs/>
          <w:sz w:val="21"/>
          <w:szCs w:val="21"/>
        </w:rPr>
        <w:t xml:space="preserve">Must be issued within 14 days of the employee starting work.</w:t>
      </w:r>
    </w:p>
    <w:p>
      <w:pPr>
        <w:keepNext/>
        <w:spacing w:after="120" w:before="280"/>
        <w:outlineLvl w:val="0"/>
      </w:pPr>
      <w:r>
        <w:rPr>
          <w:rFonts w:ascii="Calibri" w:cs="Calibri" w:eastAsia="Calibri" w:hAnsi="Calibri"/>
          <w:b/>
          <w:bCs/>
          <w:color w:val="14161B"/>
          <w:sz w:val="22"/>
          <w:szCs w:val="22"/>
        </w:rPr>
        <w:t xml:space="preserve">1. PRESCRIBED PARTICULARS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530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3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 name of employer</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[COMPANY 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 name of employee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[JOB TITLE]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Main duties and responsibilities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[SUMMARISE, OR CROSS-REFER TO AN ANNEXED JOB DESCRIPTION]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Start date of employment</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 of employment</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 / Fixed term from ______ to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arrangements — daily working hours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[HOURS]</w:t>
            </w:r>
            <w:r>
              <w:rPr>
                <w:rFonts w:ascii="Calibri" w:cs="Calibri" w:eastAsia="Calibri" w:hAnsi="Calibri"/>
                <w:sz w:val="18"/>
                <w:szCs w:val="18"/>
              </w:rPr>
              <w:t xml:space="preserve">, from </w:t>
            </w:r>
            <w:r>
              <w:rPr>
                <w:rFonts w:ascii="Calibri" w:cs="Calibri" w:eastAsia="Calibri" w:hAnsi="Calibri"/>
                <w:b/>
                <w:bCs/>
                <w:sz w:val="18"/>
                <w:szCs w:val="18"/>
              </w:rPr>
              <w:t xml:space="preserve">[TIME]</w:t>
            </w:r>
            <w:r>
              <w:rPr>
                <w:rFonts w:ascii="Calibri" w:cs="Calibri" w:eastAsia="Calibri" w:hAnsi="Calibri"/>
                <w:sz w:val="18"/>
                <w:szCs w:val="18"/>
              </w:rPr>
              <w:t xml:space="preserve"> to </w:t>
            </w:r>
            <w:r>
              <w:rPr>
                <w:rFonts w:ascii="Calibri" w:cs="Calibri" w:eastAsia="Calibri" w:hAnsi="Calibri"/>
                <w:b/>
                <w:bCs/>
                <w:sz w:val="18"/>
                <w:szCs w:val="18"/>
              </w:rPr>
              <w:t xml:space="preserve">[TIME]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arrangements — number of working days per week</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Working arrangements — rest day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period</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[Monthly / Weekly / Daily]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w:t>
            </w:r>
            <w:r>
              <w:rPr>
                <w:rFonts w:ascii="Calibri" w:cs="Calibri" w:eastAsia="Calibri" w:hAnsi="Calibri"/>
                <w:b/>
                <w:bCs/>
                <w:sz w:val="18"/>
                <w:szCs w:val="18"/>
              </w:rPr>
              <w:t xml:space="preserve">[month]</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hourly, daily or piece-rated workers, the basic rate of pay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w:t>
            </w:r>
            <w:r>
              <w:rPr>
                <w:rFonts w:ascii="Calibri" w:cs="Calibri" w:eastAsia="Calibri" w:hAnsi="Calibri"/>
                <w:b/>
                <w:bCs/>
                <w:sz w:val="18"/>
                <w:szCs w:val="18"/>
              </w:rPr>
              <w:t xml:space="preserve">[AMOUNT]</w:t>
            </w:r>
            <w:r>
              <w:rPr>
                <w:rFonts w:ascii="Calibri" w:cs="Calibri" w:eastAsia="Calibri" w:hAnsi="Calibri"/>
                <w:sz w:val="18"/>
                <w:szCs w:val="18"/>
              </w:rPr>
              <w:t xml:space="preserve"> per </w:t>
            </w:r>
            <w:r>
              <w:rPr>
                <w:rFonts w:ascii="Calibri" w:cs="Calibri" w:eastAsia="Calibri" w:hAnsi="Calibri"/>
                <w:b/>
                <w:bCs/>
                <w:sz w:val="18"/>
                <w:szCs w:val="18"/>
              </w:rPr>
              <w:t xml:space="preserve">[hour / day / piece]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allowances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 EACH — name and 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deductions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 EACH — name and amount]</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Overtime payment period</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different from the salary 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Overtime rate of pay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[1.5 times the hourly basic rate, where the employee is eligible]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Other salary-related components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[Bonus, incentives, commission — describe the basis]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Type of leave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sick, hospitalisation, maternity, paternity, shared parental, childcare — state entitlement for each]</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Other medical benefits</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[Insurance, medical, dental — 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Probation period</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Place of work</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[ADDRESS]</w:t>
            </w:r>
            <w:r>
              <w:rPr>
                <w:rFonts w:ascii="Calibri" w:cs="Calibri" w:eastAsia="Calibri" w:hAnsi="Calibri"/>
                <w:sz w:val="18"/>
                <w:szCs w:val="18"/>
              </w:rPr>
              <w:t xml:space="preserve"> </w:t>
            </w:r>
            <w:r>
              <w:rPr>
                <w:rFonts w:ascii="Calibri" w:cs="Calibri" w:eastAsia="Calibri" w:hAnsi="Calibri"/>
                <w:i/>
                <w:iCs/>
                <w:sz w:val="18"/>
                <w:szCs w:val="18"/>
              </w:rPr>
              <w:t xml:space="preserve">(state the actual place; describe any hybrid or remote arrangement)</w:t>
            </w:r>
          </w:p>
        </w:tc>
      </w:tr>
    </w:tbl>
    <w:p>
      <w:pPr>
        <w:spacing w:after="180"/>
      </w:pPr>
    </w:p>
    <w:p>
      <w:pPr>
        <w:keepNext/>
        <w:spacing w:after="120" w:before="280"/>
        <w:outlineLvl w:val="0"/>
      </w:pPr>
      <w:r>
        <w:rPr>
          <w:rFonts w:ascii="Calibri" w:cs="Calibri" w:eastAsia="Calibri" w:hAnsi="Calibri"/>
          <w:b/>
          <w:bCs/>
          <w:color w:val="14161B"/>
          <w:sz w:val="22"/>
          <w:szCs w:val="22"/>
        </w:rPr>
        <w:t xml:space="preserve">2. SALARY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Salary will be paid at least once a month and within </w:t>
      </w:r>
      <w:r>
        <w:rPr>
          <w:rFonts w:ascii="Calibri" w:cs="Calibri" w:eastAsia="Calibri" w:hAnsi="Calibri"/>
          <w:b/>
          <w:bCs/>
          <w:sz w:val="21"/>
          <w:szCs w:val="21"/>
        </w:rPr>
        <w:t xml:space="preserve">seven days</w:t>
      </w:r>
      <w:r>
        <w:rPr>
          <w:rFonts w:ascii="Calibri" w:cs="Calibri" w:eastAsia="Calibri" w:hAnsi="Calibri"/>
          <w:sz w:val="21"/>
          <w:szCs w:val="21"/>
        </w:rPr>
        <w:t xml:space="preserve"> after the end of the salary period.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Overtime pay, where payable, will be paid within </w:t>
      </w:r>
      <w:r>
        <w:rPr>
          <w:rFonts w:ascii="Calibri" w:cs="Calibri" w:eastAsia="Calibri" w:hAnsi="Calibri"/>
          <w:b/>
          <w:bCs/>
          <w:sz w:val="21"/>
          <w:szCs w:val="21"/>
        </w:rPr>
        <w:t xml:space="preserve">fourteen days</w:t>
      </w:r>
      <w:r>
        <w:rPr>
          <w:rFonts w:ascii="Calibri" w:cs="Calibri" w:eastAsia="Calibri" w:hAnsi="Calibri"/>
          <w:sz w:val="21"/>
          <w:szCs w:val="21"/>
        </w:rPr>
        <w:t xml:space="preserve"> after the end of the salary period in which the overtime was worked.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An </w:t>
      </w:r>
      <w:r>
        <w:rPr>
          <w:rFonts w:ascii="Calibri" w:cs="Calibri" w:eastAsia="Calibri" w:hAnsi="Calibri"/>
          <w:b/>
          <w:bCs/>
          <w:sz w:val="21"/>
          <w:szCs w:val="21"/>
        </w:rPr>
        <w:t xml:space="preserve">itemised payslip</w:t>
      </w:r>
      <w:r>
        <w:rPr>
          <w:rFonts w:ascii="Calibri" w:cs="Calibri" w:eastAsia="Calibri" w:hAnsi="Calibri"/>
          <w:sz w:val="21"/>
          <w:szCs w:val="21"/>
        </w:rPr>
        <w:t xml:space="preserve"> will be issued to you together with payment, or within three working days of payment. Please check it and raise any discrepancy promptly.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Salary will be paid by direct credit to your bank account at </w:t>
      </w:r>
      <w:r>
        <w:rPr>
          <w:rFonts w:ascii="Calibri" w:cs="Calibri" w:eastAsia="Calibri" w:hAnsi="Calibri"/>
          <w:b/>
          <w:bCs/>
          <w:sz w:val="21"/>
          <w:szCs w:val="21"/>
        </w:rPr>
        <w:t xml:space="preserve">[BANK]</w:t>
      </w:r>
      <w:r>
        <w:rPr>
          <w:rFonts w:ascii="Calibri" w:cs="Calibri" w:eastAsia="Calibri" w:hAnsi="Calibri"/>
          <w:sz w:val="21"/>
          <w:szCs w:val="21"/>
        </w:rPr>
        <w:t xml:space="preserve">, account number </w:t>
      </w:r>
      <w:r>
        <w:rPr>
          <w:rFonts w:ascii="Calibri" w:cs="Calibri" w:eastAsia="Calibri" w:hAnsi="Calibri"/>
          <w:b/>
          <w:bCs/>
          <w:sz w:val="21"/>
          <w:szCs w:val="21"/>
        </w:rPr>
        <w:t xml:space="preserve">[NUMBER]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Authorised deductions will be limited to those permitted by law. The total amount deducted in any one salary period will not exceed the statutory limit, excluding deductions for absence, income tax, and Central Provident Fund contributions.</w:t>
      </w:r>
    </w:p>
    <w:p>
      <w:pPr>
        <w:keepNext/>
        <w:spacing w:after="120" w:before="280"/>
        <w:outlineLvl w:val="0"/>
      </w:pPr>
      <w:r>
        <w:rPr>
          <w:rFonts w:ascii="Calibri" w:cs="Calibri" w:eastAsia="Calibri" w:hAnsi="Calibri"/>
          <w:b/>
          <w:bCs/>
          <w:color w:val="14161B"/>
          <w:sz w:val="22"/>
          <w:szCs w:val="22"/>
        </w:rPr>
        <w:t xml:space="preserve">3. CENTRAL PROVIDENT FUND</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Where you are a Singapore citizen or permanent resident, the Company will make employer contributions and deduct employee contributions to the Central Provident Fund at the rates applicable to your age band, on your Ordinary Wages up to the prescribed monthly ceiling and on Additional Wages up to the prescribed annual ceiling.</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Contributions will be paid by the fourteenth day of the following month.</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i/>
          <w:iCs/>
          <w:sz w:val="21"/>
          <w:szCs w:val="21"/>
        </w:rPr>
        <w:t xml:space="preserve">Where you hold an Employment Pass, S Pass or Work Permit, Central Provident Fund contributions are </w:t>
      </w:r>
      <w:r>
        <w:rPr>
          <w:rFonts w:ascii="Calibri" w:cs="Calibri" w:eastAsia="Calibri" w:hAnsi="Calibri"/>
          <w:i/>
          <w:iCs/>
          <w:sz w:val="21"/>
          <w:szCs w:val="21"/>
        </w:rPr>
        <w:t xml:space="preserve">not</w:t>
      </w:r>
      <w:r>
        <w:rPr>
          <w:rFonts w:ascii="Calibri" w:cs="Calibri" w:eastAsia="Calibri" w:hAnsi="Calibri"/>
          <w:i/>
          <w:iCs/>
          <w:sz w:val="21"/>
          <w:szCs w:val="21"/>
        </w:rPr>
        <w:t xml:space="preserve"> payable by you or by the Company. The Company pays the applicable levy instead. Your remuneration has been structured accordingly.</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Company will pay the Skills Development Levy in respect of your employment as required by law.</w:t>
      </w:r>
    </w:p>
    <w:p>
      <w:pPr>
        <w:keepNext/>
        <w:spacing w:after="120" w:before="280"/>
        <w:outlineLvl w:val="0"/>
      </w:pPr>
      <w:r>
        <w:rPr>
          <w:rFonts w:ascii="Calibri" w:cs="Calibri" w:eastAsia="Calibri" w:hAnsi="Calibri"/>
          <w:b/>
          <w:bCs/>
          <w:color w:val="14161B"/>
          <w:sz w:val="22"/>
          <w:szCs w:val="22"/>
        </w:rPr>
        <w:t xml:space="preserve">4. WORKING HOURS AND OVERTIME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Your contractual hours are stated above. </w:t>
      </w:r>
      <w:r>
        <w:rPr>
          <w:rFonts w:ascii="Calibri" w:cs="Calibri" w:eastAsia="Calibri" w:hAnsi="Calibri"/>
          <w:b/>
          <w:bCs/>
          <w:sz w:val="21"/>
          <w:szCs w:val="21"/>
        </w:rPr>
        <w:t xml:space="preserve">[Where the employee is covered by Part IV of the Employment Act]</w:t>
      </w:r>
      <w:r>
        <w:rPr>
          <w:rFonts w:ascii="Calibri" w:cs="Calibri" w:eastAsia="Calibri" w:hAnsi="Calibri"/>
          <w:sz w:val="21"/>
          <w:szCs w:val="21"/>
        </w:rPr>
        <w:t xml:space="preserve"> Your working hours will not exceed </w:t>
      </w:r>
      <w:r>
        <w:rPr>
          <w:rFonts w:ascii="Calibri" w:cs="Calibri" w:eastAsia="Calibri" w:hAnsi="Calibri"/>
          <w:b/>
          <w:bCs/>
          <w:sz w:val="21"/>
          <w:szCs w:val="21"/>
        </w:rPr>
        <w:t xml:space="preserve">44 hours per week</w:t>
      </w:r>
      <w:r>
        <w:rPr>
          <w:rFonts w:ascii="Calibri" w:cs="Calibri" w:eastAsia="Calibri" w:hAnsi="Calibri"/>
          <w:sz w:val="21"/>
          <w:szCs w:val="21"/>
        </w:rPr>
        <w:t xml:space="preserve">, and you are entitled to at least one rest day each week.</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the employee is covered by Part IV]</w:t>
      </w:r>
      <w:r>
        <w:rPr>
          <w:rFonts w:ascii="Calibri" w:cs="Calibri" w:eastAsia="Calibri" w:hAnsi="Calibri"/>
          <w:sz w:val="21"/>
          <w:szCs w:val="21"/>
        </w:rPr>
        <w:t xml:space="preserve"> Overtime worked with prior authorisation will be paid at </w:t>
      </w:r>
      <w:r>
        <w:rPr>
          <w:rFonts w:ascii="Calibri" w:cs="Calibri" w:eastAsia="Calibri" w:hAnsi="Calibri"/>
          <w:b/>
          <w:bCs/>
          <w:sz w:val="21"/>
          <w:szCs w:val="21"/>
        </w:rPr>
        <w:t xml:space="preserve">1.5 times</w:t>
      </w:r>
      <w:r>
        <w:rPr>
          <w:rFonts w:ascii="Calibri" w:cs="Calibri" w:eastAsia="Calibri" w:hAnsi="Calibri"/>
          <w:sz w:val="21"/>
          <w:szCs w:val="21"/>
        </w:rPr>
        <w:t xml:space="preserve"> your hourly basic rate of pay.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Part IV of the Employment Act, which governs hours of work, rest days and overtime, applies to workmen earning not more than the prescribed monthly basic salary and to other employees earning not more than the prescribed monthly basic salary. It does not apply to managers or executives. State which position applies to this role rather than leaving it to be inferred.</w:t>
      </w:r>
    </w:p>
    <w:p>
      <w:pPr>
        <w:keepNext/>
        <w:spacing w:after="120" w:before="280"/>
        <w:outlineLvl w:val="0"/>
      </w:pPr>
      <w:r>
        <w:rPr>
          <w:rFonts w:ascii="Calibri" w:cs="Calibri" w:eastAsia="Calibri" w:hAnsi="Calibri"/>
          <w:b/>
          <w:bCs/>
          <w:color w:val="14161B"/>
          <w:sz w:val="22"/>
          <w:szCs w:val="22"/>
        </w:rPr>
        <w:t xml:space="preserve">5. LEAVE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313"/>
        <w:gridCol w:w="5012"/>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 of leave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Entitlement</w:t>
            </w:r>
          </w:p>
        </w:tc>
        <w:tc>
          <w:tcPr>
            <w:tcW w:type="dxa" w:w="50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days per year</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minimum is 7 days in the first year of service, rising by one day per additional year to a maximum of 14, after 3 months’ service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Sick leave — outpatient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days per year</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14 days after 6 months’ service, certified by a medical practitioner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Sick leave — hospitalisation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days per year</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 to 60 days inclusive of outpatient sick leave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Maternity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 weeks for an eligible Singapore citizen child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Paternity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 weeks, mandatory for eligible fathers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Shared parental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 weeks shared between eligible parents, for children born or adopted from 1 April 2026</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Childcare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 days for an eligible Singapore citizen child below 7; 2 days otherwise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Extended childcare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 days where the youngest child is aged 7 to 12</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Unpaid infant care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provided by law</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 days per parent per year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Public holidays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11</w:t>
            </w:r>
            <w:r>
              <w:rPr>
                <w:rFonts w:ascii="Calibri" w:cs="Calibri" w:eastAsia="Calibri" w:hAnsi="Calibri"/>
                <w:sz w:val="18"/>
                <w:szCs w:val="18"/>
              </w:rPr>
              <w:t xml:space="preserve"> gazetted days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 public holiday falls on a rest day, the following day is a paid holiday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leave]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[Compassionate, examination, marriage — contractual, not statutory]</w:t>
            </w:r>
          </w:p>
        </w:tc>
      </w:tr>
    </w:tbl>
    <w:p>
      <w:pPr>
        <w:spacing w:after="160"/>
      </w:pPr>
    </w:p>
    <w:p>
      <w:pPr>
        <w:keepNext/>
        <w:spacing w:after="120" w:before="280"/>
        <w:outlineLvl w:val="0"/>
      </w:pPr>
      <w:r>
        <w:rPr>
          <w:rFonts w:ascii="Calibri" w:cs="Calibri" w:eastAsia="Calibri" w:hAnsi="Calibri"/>
          <w:b/>
          <w:bCs/>
          <w:color w:val="14161B"/>
          <w:sz w:val="22"/>
          <w:szCs w:val="22"/>
        </w:rPr>
        <w:t xml:space="preserve">6. PROBATION, NOTICE AND TERMINATION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You will be on probation for </w:t>
      </w:r>
      <w:r>
        <w:rPr>
          <w:rFonts w:ascii="Calibri" w:cs="Calibri" w:eastAsia="Calibri" w:hAnsi="Calibri"/>
          <w:b/>
          <w:bCs/>
          <w:sz w:val="21"/>
          <w:szCs w:val="21"/>
        </w:rPr>
        <w:t xml:space="preserve">[NUMBER]</w:t>
      </w:r>
      <w:r>
        <w:rPr>
          <w:rFonts w:ascii="Calibri" w:cs="Calibri" w:eastAsia="Calibri" w:hAnsi="Calibri"/>
          <w:sz w:val="21"/>
          <w:szCs w:val="21"/>
        </w:rPr>
        <w:t xml:space="preserve"> months. Confirmation is not automatic; you will be notified in writing.</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Either party may terminate the employment by giving the notice stated above, or by paying salary in lieu of notice for the unexpired period.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Where no notice period is agreed, the statutory minimum applies by reference to length of service: one day for less than 26 weeks; one week for 26 weeks to less than 2 years; two weeks for 2 years to less than 5 years; and four weeks for 5 years or more. State the agreed period rather than relying on the default.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Company may terminate the employment without notice where you are guilty of misconduct, following a </w:t>
      </w:r>
      <w:r>
        <w:rPr>
          <w:rFonts w:ascii="Calibri" w:cs="Calibri" w:eastAsia="Calibri" w:hAnsi="Calibri"/>
          <w:b/>
          <w:bCs/>
          <w:sz w:val="21"/>
          <w:szCs w:val="21"/>
        </w:rPr>
        <w:t xml:space="preserve">due inquiry</w:t>
      </w:r>
      <w:r>
        <w:rPr>
          <w:rFonts w:ascii="Calibri" w:cs="Calibri" w:eastAsia="Calibri" w:hAnsi="Calibri"/>
          <w:sz w:val="21"/>
          <w:szCs w:val="21"/>
        </w:rPr>
        <w:t xml:space="preserve"> conducted in accordance with the Company’s disciplinary procedure.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On termination, all salary and other sums due will be paid on the last day of employment where the Company terminates, and within </w:t>
      </w:r>
      <w:r>
        <w:rPr>
          <w:rFonts w:ascii="Calibri" w:cs="Calibri" w:eastAsia="Calibri" w:hAnsi="Calibri"/>
          <w:b/>
          <w:bCs/>
          <w:sz w:val="21"/>
          <w:szCs w:val="21"/>
        </w:rPr>
        <w:t xml:space="preserve">three working days</w:t>
      </w:r>
      <w:r>
        <w:rPr>
          <w:rFonts w:ascii="Calibri" w:cs="Calibri" w:eastAsia="Calibri" w:hAnsi="Calibri"/>
          <w:sz w:val="21"/>
          <w:szCs w:val="21"/>
        </w:rPr>
        <w:t xml:space="preserve"> where you resign and serve notice. Where you resign without notice, payment will be made within seven days.</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statutory retirement age is </w:t>
      </w:r>
      <w:r>
        <w:rPr>
          <w:rFonts w:ascii="Calibri" w:cs="Calibri" w:eastAsia="Calibri" w:hAnsi="Calibri"/>
          <w:b/>
          <w:bCs/>
          <w:sz w:val="21"/>
          <w:szCs w:val="21"/>
        </w:rPr>
        <w:t xml:space="preserve">64</w:t>
      </w:r>
      <w:r>
        <w:rPr>
          <w:rFonts w:ascii="Calibri" w:cs="Calibri" w:eastAsia="Calibri" w:hAnsi="Calibri"/>
          <w:sz w:val="21"/>
          <w:szCs w:val="21"/>
        </w:rPr>
        <w:t xml:space="preserve"> and the re-employment age is </w:t>
      </w:r>
      <w:r>
        <w:rPr>
          <w:rFonts w:ascii="Calibri" w:cs="Calibri" w:eastAsia="Calibri" w:hAnsi="Calibri"/>
          <w:b/>
          <w:bCs/>
          <w:sz w:val="21"/>
          <w:szCs w:val="21"/>
        </w:rPr>
        <w:t xml:space="preserve">69</w:t>
      </w:r>
      <w:r>
        <w:rPr>
          <w:rFonts w:ascii="Calibri" w:cs="Calibri" w:eastAsia="Calibri" w:hAnsi="Calibri"/>
          <w:sz w:val="21"/>
          <w:szCs w:val="21"/>
        </w:rPr>
        <w:t xml:space="preserve">. The Company will not dismiss you on the ground of age before the retirement age, and will consider you for re-employment in accordance with the Retirement and Re-employment Act.</w:t>
      </w:r>
    </w:p>
    <w:p>
      <w:pPr>
        <w:keepNext/>
        <w:spacing w:after="120" w:before="280"/>
        <w:outlineLvl w:val="0"/>
      </w:pPr>
      <w:r>
        <w:rPr>
          <w:rFonts w:ascii="Calibri" w:cs="Calibri" w:eastAsia="Calibri" w:hAnsi="Calibri"/>
          <w:b/>
          <w:bCs/>
          <w:color w:val="14161B"/>
          <w:sz w:val="22"/>
          <w:szCs w:val="22"/>
        </w:rPr>
        <w:t xml:space="preserve">7. OTHER TERMS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These key employment terms are supplemented by your contract of employment and by the Company’s policies as amended from time to time, including the employee handbook, the code of conduct, the workplace fairness and grievance procedure, the anti-harassment policy and the personal data protection policy.</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Company will keep employment records in respect of your employment as required by law, and will retain them for the prescribed period.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Any change to these key employment terms will be notified to you in writing.</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These terms are governed by the laws of Singapore.</w:t>
      </w:r>
    </w:p>
    <w:p>
      <w:pPr>
        <w:spacing w:after="200"/>
      </w:pPr>
    </w:p>
    <w:p>
      <w:pPr>
        <w:spacing w:after="18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these key employment terms.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Fourteen days, in writing, to every covered employee</w:t>
      </w:r>
    </w:p>
    <w:p>
      <w:pPr>
        <w:spacing w:after="60" w:line="264"/>
        <w:jc w:val="both"/>
      </w:pPr>
      <w:r>
        <w:rPr>
          <w:rFonts w:ascii="Calibri" w:cs="Calibri" w:eastAsia="Calibri" w:hAnsi="Calibri"/>
          <w:sz w:val="19"/>
          <w:szCs w:val="19"/>
        </w:rPr>
        <w:t xml:space="preserve">Key employment terms must be issued in writing within fourteen days of the employee starting work. The obligation covers employees under a contract of service who are employed for fourteen days or more; it is not limited to senior staff or to Singapore citizens. An establishment that issues offer letters but no key employment terms has not complied, and it is among the first things an inspection or a dispute will surface.</w:t>
      </w:r>
    </w:p>
    <w:p>
      <w:pPr>
        <w:keepNext/>
        <w:spacing w:after="40" w:before="140"/>
      </w:pPr>
      <w:r>
        <w:rPr>
          <w:rFonts w:ascii="Calibri" w:cs="Calibri" w:eastAsia="Calibri" w:hAnsi="Calibri"/>
          <w:b/>
          <w:bCs/>
          <w:color w:val="14161B"/>
          <w:sz w:val="20"/>
          <w:szCs w:val="20"/>
        </w:rPr>
        <w:t xml:space="preserve">They may be issued in soft copy</w:t>
      </w:r>
    </w:p>
    <w:p>
      <w:pPr>
        <w:spacing w:after="60" w:line="264"/>
        <w:jc w:val="both"/>
      </w:pPr>
      <w:r>
        <w:rPr>
          <w:rFonts w:ascii="Calibri" w:cs="Calibri" w:eastAsia="Calibri" w:hAnsi="Calibri"/>
          <w:sz w:val="19"/>
          <w:szCs w:val="19"/>
        </w:rPr>
        <w:t xml:space="preserve">Key employment terms may be provided electronically — by email, or through a portal the employee can access and retain. What matters is that the employee receives them, can keep them, and that the employer can evidence issue. Keep the acknowledgement.</w:t>
      </w:r>
    </w:p>
    <w:p>
      <w:pPr>
        <w:keepNext/>
        <w:spacing w:after="40" w:before="140"/>
      </w:pPr>
      <w:r>
        <w:rPr>
          <w:rFonts w:ascii="Calibri" w:cs="Calibri" w:eastAsia="Calibri" w:hAnsi="Calibri"/>
          <w:b/>
          <w:bCs/>
          <w:color w:val="14161B"/>
          <w:sz w:val="20"/>
          <w:szCs w:val="20"/>
        </w:rPr>
        <w:t xml:space="preserve">Itemised payslips are a separate obligation</w:t>
      </w:r>
    </w:p>
    <w:p>
      <w:pPr>
        <w:spacing w:after="60" w:line="264"/>
        <w:jc w:val="both"/>
      </w:pPr>
      <w:r>
        <w:rPr>
          <w:rFonts w:ascii="Calibri" w:cs="Calibri" w:eastAsia="Calibri" w:hAnsi="Calibri"/>
          <w:sz w:val="19"/>
          <w:szCs w:val="19"/>
        </w:rPr>
        <w:t xml:space="preserve">The payslip requirement stands alongside key employment terms and is often missed. A payslip must be issued with payment, or within three working days of it, and must itemise basic salary, allowances, deductions, overtime hours and pay, and net salary. Issuing a bank transfer with no payslip is a contravention even where the amount is correct.</w:t>
      </w:r>
    </w:p>
    <w:p>
      <w:pPr>
        <w:keepNext/>
        <w:spacing w:after="40" w:before="140"/>
      </w:pPr>
      <w:r>
        <w:rPr>
          <w:rFonts w:ascii="Calibri" w:cs="Calibri" w:eastAsia="Calibri" w:hAnsi="Calibri"/>
          <w:b/>
          <w:bCs/>
          <w:color w:val="14161B"/>
          <w:sz w:val="20"/>
          <w:szCs w:val="20"/>
        </w:rPr>
        <w:t xml:space="preserve">Part IV coverage decides hours, rest days and overtime</w:t>
      </w:r>
    </w:p>
    <w:p>
      <w:pPr>
        <w:spacing w:after="60" w:line="264"/>
        <w:jc w:val="both"/>
      </w:pPr>
      <w:r>
        <w:rPr>
          <w:rFonts w:ascii="Calibri" w:cs="Calibri" w:eastAsia="Calibri" w:hAnsi="Calibri"/>
          <w:sz w:val="19"/>
          <w:szCs w:val="19"/>
        </w:rPr>
        <w:t xml:space="preserve">Part IV of the Employment Act governs hours of work, rest days and overtime, and applies to workmen and to other employees earning not more than the prescribed monthly basic salary. It does not apply to managers or executives. Overtime for covered employees is payable at 1.5 times the hourly basic rate — note that this differs from jurisdictions applying a double-time rate. Determine coverage for each role and record it, rather than treating the whole workforce alike.</w:t>
      </w:r>
    </w:p>
    <w:p>
      <w:pPr>
        <w:keepNext/>
        <w:spacing w:after="40" w:before="140"/>
      </w:pPr>
      <w:r>
        <w:rPr>
          <w:rFonts w:ascii="Calibri" w:cs="Calibri" w:eastAsia="Calibri" w:hAnsi="Calibri"/>
          <w:b/>
          <w:bCs/>
          <w:color w:val="14161B"/>
          <w:sz w:val="20"/>
          <w:szCs w:val="20"/>
        </w:rPr>
        <w:t xml:space="preserve">Central Provident Fund is not payable for pass holders</w:t>
      </w:r>
    </w:p>
    <w:p>
      <w:pPr>
        <w:spacing w:after="60" w:line="264"/>
        <w:jc w:val="both"/>
      </w:pPr>
      <w:r>
        <w:rPr>
          <w:rFonts w:ascii="Calibri" w:cs="Calibri" w:eastAsia="Calibri" w:hAnsi="Calibri"/>
          <w:sz w:val="19"/>
          <w:szCs w:val="19"/>
        </w:rPr>
        <w:t xml:space="preserve">Contributions are payable for Singapore citizens and permanent residents only. It is an offence for an employer to make Central Provident Fund contributions for Employment Pass, S Pass or Work Permit holders. This is the reverse of the position in several neighbouring jurisdictions and is a common error in regional payroll systems. Where a pass holder becomes a permanent resident, contributions start from the date of status change.</w:t>
      </w:r>
    </w:p>
    <w:p>
      <w:pPr>
        <w:keepNext/>
        <w:spacing w:after="40" w:before="140"/>
      </w:pPr>
      <w:r>
        <w:rPr>
          <w:rFonts w:ascii="Calibri" w:cs="Calibri" w:eastAsia="Calibri" w:hAnsi="Calibri"/>
          <w:b/>
          <w:bCs/>
          <w:color w:val="14161B"/>
          <w:sz w:val="20"/>
          <w:szCs w:val="20"/>
        </w:rPr>
        <w:t xml:space="preserve">Ordinary and Additional Wage ceilings</w:t>
      </w:r>
    </w:p>
    <w:p>
      <w:pPr>
        <w:spacing w:after="60" w:line="264"/>
        <w:jc w:val="both"/>
      </w:pPr>
      <w:r>
        <w:rPr>
          <w:rFonts w:ascii="Calibri" w:cs="Calibri" w:eastAsia="Calibri" w:hAnsi="Calibri"/>
          <w:sz w:val="19"/>
          <w:szCs w:val="19"/>
        </w:rPr>
        <w:t xml:space="preserve">Contributions are computed on Ordinary Wages up to a monthly ceiling and on Additional Wages up to an annual ceiling, at rates that vary by age band. Both the ceilings and the rates have been revised in recent years, including increases for older workers. Verify the current figures against the Central Provident Fund Board before each payroll year rather than carrying forward last year’s configuration.</w:t>
      </w:r>
    </w:p>
    <w:p>
      <w:pPr>
        <w:keepNext/>
        <w:spacing w:after="40" w:before="140"/>
      </w:pPr>
      <w:r>
        <w:rPr>
          <w:rFonts w:ascii="Calibri" w:cs="Calibri" w:eastAsia="Calibri" w:hAnsi="Calibri"/>
          <w:b/>
          <w:bCs/>
          <w:color w:val="14161B"/>
          <w:sz w:val="20"/>
          <w:szCs w:val="20"/>
        </w:rPr>
        <w:t xml:space="preserve">Payment timing on termination differs by who ends it</w:t>
      </w:r>
    </w:p>
    <w:p>
      <w:pPr>
        <w:spacing w:after="60" w:line="264"/>
        <w:jc w:val="both"/>
      </w:pPr>
      <w:r>
        <w:rPr>
          <w:rFonts w:ascii="Calibri" w:cs="Calibri" w:eastAsia="Calibri" w:hAnsi="Calibri"/>
          <w:sz w:val="19"/>
          <w:szCs w:val="19"/>
        </w:rPr>
        <w:t xml:space="preserve">Where the employer terminates, all sums due are payable on the last day of employment. Where the employee resigns and serves the required notice, payment is due within three working days. Where the employee resigns without notice, within seven days. Employers frequently apply a single settlement timetable to all three and are late in the first case.</w:t>
      </w:r>
    </w:p>
    <w:p>
      <w:pPr>
        <w:keepNext/>
        <w:spacing w:after="40" w:before="140"/>
      </w:pPr>
      <w:r>
        <w:rPr>
          <w:rFonts w:ascii="Calibri" w:cs="Calibri" w:eastAsia="Calibri" w:hAnsi="Calibri"/>
          <w:b/>
          <w:bCs/>
          <w:color w:val="14161B"/>
          <w:sz w:val="20"/>
          <w:szCs w:val="20"/>
        </w:rPr>
        <w:t xml:space="preserve">Due inquiry before dismissal for misconduct</w:t>
      </w:r>
    </w:p>
    <w:p>
      <w:pPr>
        <w:spacing w:after="60" w:line="264"/>
        <w:jc w:val="both"/>
      </w:pPr>
      <w:r>
        <w:rPr>
          <w:rFonts w:ascii="Calibri" w:cs="Calibri" w:eastAsia="Calibri" w:hAnsi="Calibri"/>
          <w:sz w:val="19"/>
          <w:szCs w:val="19"/>
        </w:rPr>
        <w:t xml:space="preserve">The Employment Act requires a due inquiry before an employee is dismissed for misconduct. There is no prescribed procedure, but the inquiry must be fair: the employee must know the allegation, have a genuine opportunity to answer it, and the person deciding should not be the complainant. Dismissals without inquiry are the most common basis for a wrongful dismissal claim at the Employment Claims Tribunal.</w:t>
      </w:r>
    </w:p>
    <w:p>
      <w:pPr>
        <w:keepNext/>
        <w:spacing w:after="40" w:before="140"/>
      </w:pPr>
      <w:r>
        <w:rPr>
          <w:rFonts w:ascii="Calibri" w:cs="Calibri" w:eastAsia="Calibri" w:hAnsi="Calibri"/>
          <w:b/>
          <w:bCs/>
          <w:color w:val="14161B"/>
          <w:sz w:val="20"/>
          <w:szCs w:val="20"/>
        </w:rPr>
        <w:t xml:space="preserve">Leave entitlements changed recently and will change again</w:t>
      </w:r>
    </w:p>
    <w:p>
      <w:pPr>
        <w:spacing w:after="60" w:line="264"/>
        <w:jc w:val="both"/>
      </w:pPr>
      <w:r>
        <w:rPr>
          <w:rFonts w:ascii="Calibri" w:cs="Calibri" w:eastAsia="Calibri" w:hAnsi="Calibri"/>
          <w:sz w:val="19"/>
          <w:szCs w:val="19"/>
        </w:rPr>
        <w:t xml:space="preserve">Paternity leave became a mandatory four weeks in April 2025, and shared parental leave rose to ten weeks for children born or adopted from 1 April 2026. Handbooks and key employment terms drafted before these dates understate entitlements. State entitlements as at least the statutory minimum and review them annually.</w:t>
      </w:r>
    </w:p>
    <w:p>
      <w:pPr>
        <w:keepNext/>
        <w:spacing w:after="40" w:before="140"/>
      </w:pPr>
      <w:r>
        <w:rPr>
          <w:rFonts w:ascii="Calibri" w:cs="Calibri" w:eastAsia="Calibri" w:hAnsi="Calibri"/>
          <w:b/>
          <w:bCs/>
          <w:color w:val="14161B"/>
          <w:sz w:val="20"/>
          <w:szCs w:val="20"/>
        </w:rPr>
        <w:t xml:space="preserve">Retirement and re-employment ages rose in July 2026</w:t>
      </w:r>
    </w:p>
    <w:p>
      <w:pPr>
        <w:spacing w:after="60" w:line="264"/>
        <w:jc w:val="both"/>
      </w:pPr>
      <w:r>
        <w:rPr>
          <w:rFonts w:ascii="Calibri" w:cs="Calibri" w:eastAsia="Calibri" w:hAnsi="Calibri"/>
          <w:sz w:val="19"/>
          <w:szCs w:val="19"/>
        </w:rPr>
        <w:t xml:space="preserve">The statutory retirement age is 64 and the re-employment age is 69, both raised with effect from 1 July 2026 and scheduled to rise further. An employer may not dismiss a Singapore citizen or permanent resident below the retirement age on the ground of age, and must consider eligible employees for re-employment. Update templates that still state 63 and 68.</w:t>
      </w:r>
    </w:p>
    <w:p>
      <w:pPr>
        <w:keepNext/>
        <w:spacing w:after="40" w:before="140"/>
      </w:pPr>
      <w:r>
        <w:rPr>
          <w:rFonts w:ascii="Calibri" w:cs="Calibri" w:eastAsia="Calibri" w:hAnsi="Calibri"/>
          <w:b/>
          <w:bCs/>
          <w:color w:val="14161B"/>
          <w:sz w:val="20"/>
          <w:szCs w:val="20"/>
        </w:rPr>
        <w:t xml:space="preserve">State the place of work honestly</w:t>
      </w:r>
    </w:p>
    <w:p>
      <w:pPr>
        <w:spacing w:after="60" w:line="264"/>
        <w:jc w:val="both"/>
      </w:pPr>
      <w:r>
        <w:rPr>
          <w:rFonts w:ascii="Calibri" w:cs="Calibri" w:eastAsia="Calibri" w:hAnsi="Calibri"/>
          <w:sz w:val="19"/>
          <w:szCs w:val="19"/>
        </w:rPr>
        <w:t xml:space="preserve">Where the arrangement is hybrid or remote, describe it — how many days, from where, and what notice applies to a change. A later requirement to attend an office five days a week, where the terms said otherwise, is a change of terms and should be handled as one.</w:t>
      </w:r>
    </w:p>
    <w:p>
      <w:pPr>
        <w:keepNext/>
        <w:spacing w:after="40" w:before="140"/>
      </w:pPr>
      <w:r>
        <w:rPr>
          <w:rFonts w:ascii="Calibri" w:cs="Calibri" w:eastAsia="Calibri" w:hAnsi="Calibri"/>
          <w:b/>
          <w:bCs/>
          <w:color w:val="14161B"/>
          <w:sz w:val="20"/>
          <w:szCs w:val="20"/>
        </w:rPr>
        <w:t xml:space="preserve">Fixed allowances and deductions must be itemised</w:t>
      </w:r>
    </w:p>
    <w:p>
      <w:pPr>
        <w:spacing w:after="60" w:line="264"/>
        <w:jc w:val="both"/>
      </w:pPr>
      <w:r>
        <w:rPr>
          <w:rFonts w:ascii="Calibri" w:cs="Calibri" w:eastAsia="Calibri" w:hAnsi="Calibri"/>
          <w:sz w:val="19"/>
          <w:szCs w:val="19"/>
        </w:rPr>
        <w:t xml:space="preserve">Items 13 and 14 require each fixed allowance and each fixed deduction to be named with its amount. A single line reading "allowances" does not satisfy the requirement and makes the payslip impossible to reconcile.</w:t>
      </w:r>
    </w:p>
    <w:p>
      <w:pPr>
        <w:keepNext/>
        <w:spacing w:after="40" w:before="140"/>
      </w:pPr>
      <w:r>
        <w:rPr>
          <w:rFonts w:ascii="Calibri" w:cs="Calibri" w:eastAsia="Calibri" w:hAnsi="Calibri"/>
          <w:b/>
          <w:bCs/>
          <w:color w:val="14161B"/>
          <w:sz w:val="20"/>
          <w:szCs w:val="20"/>
        </w:rPr>
        <w:t xml:space="preserve">Keep employment records</w:t>
      </w:r>
    </w:p>
    <w:p>
      <w:pPr>
        <w:spacing w:after="60" w:line="264"/>
        <w:jc w:val="both"/>
      </w:pPr>
      <w:r>
        <w:rPr>
          <w:rFonts w:ascii="Calibri" w:cs="Calibri" w:eastAsia="Calibri" w:hAnsi="Calibri"/>
          <w:sz w:val="19"/>
          <w:szCs w:val="19"/>
        </w:rPr>
        <w:t xml:space="preserve">Employers must maintain records of employees covered by the Employment Act, including salary and leave records, and retain them for the prescribed period — currently two years for existing employees and one year after an employee leaves. The key employment terms are the first record; the salary and leave registers are what an inspection examines next.</w:t>
      </w:r>
    </w:p>
    <w:p>
      <w:pPr>
        <w:keepNext/>
        <w:spacing w:after="40" w:before="140"/>
      </w:pPr>
      <w:r>
        <w:rPr>
          <w:rFonts w:ascii="Calibri" w:cs="Calibri" w:eastAsia="Calibri" w:hAnsi="Calibri"/>
          <w:b/>
          <w:bCs/>
          <w:color w:val="14161B"/>
          <w:sz w:val="20"/>
          <w:szCs w:val="20"/>
        </w:rPr>
        <w:t xml:space="preserve">Watch the Employment Act review</w:t>
      </w:r>
    </w:p>
    <w:p>
      <w:pPr>
        <w:spacing w:after="60" w:line="264"/>
        <w:jc w:val="both"/>
      </w:pPr>
      <w:r>
        <w:rPr>
          <w:rFonts w:ascii="Calibri" w:cs="Calibri" w:eastAsia="Calibri" w:hAnsi="Calibri"/>
          <w:sz w:val="19"/>
          <w:szCs w:val="19"/>
        </w:rPr>
        <w:t xml:space="preserve">A significant review of the Employment Act is under way, with proposals expected during the second half of 2026. Coverage thresholds, Part IV scope and salary caps are all candidates for change. Diarise a review of this template once the outcome is published.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Central Provident Fund rates and ceilings, leave entitlements, retirement and re-employment ages, Part IV thresholds and notice defaults all change — have this template reviewed by an employment adviser and a payroll specialist before use, and again at the start of each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2026-08-22T06:55:27.990Z</dcterms:created>
  <dcterms:modified xsi:type="dcterms:W3CDTF">2026-08-22T06:55:27.990Z</dcterms:modified>
</cp:coreProperties>
</file>

<file path=docProps/custom.xml><?xml version="1.0" encoding="utf-8"?>
<Properties xmlns="http://schemas.openxmlformats.org/officeDocument/2006/custom-properties" xmlns:vt="http://schemas.openxmlformats.org/officeDocument/2006/docPropsVTypes"/>
</file>