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ITEMISED PAYSLIP</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Issuing an itemised payslip is a statutory obligation for every employee covered by the Employment Act, every salary period. A bank transfer with no payslip is a contravention even where the amount paid is correct. The payslip must be issued together with payment, or within three working days of it, and within three days of termination where employment ends.</w:t>
      </w:r>
    </w:p>
    <w:p>
      <w:pPr>
        <w:keepNext/>
        <w:spacing w:after="120" w:before="280"/>
        <w:outlineLvl w:val="0"/>
      </w:pPr>
      <w:r>
        <w:rPr>
          <w:rFonts w:ascii="Calibri" w:cs="Calibri" w:eastAsia="Calibri" w:hAnsi="Calibri"/>
          <w:b/>
          <w:bCs/>
          <w:color w:val="14161B"/>
          <w:sz w:val="22"/>
          <w:szCs w:val="22"/>
        </w:rPr>
        <w:t xml:space="preserve">PAYSLIP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 Full name of 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 Full name of employee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 Date of payment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 period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[FROM]</w:t>
            </w:r>
            <w:r>
              <w:rPr>
                <w:rFonts w:ascii="Calibri" w:cs="Calibri" w:eastAsia="Calibri" w:hAnsi="Calibri"/>
                <w:sz w:val="19"/>
                <w:szCs w:val="19"/>
              </w:rPr>
              <w:t xml:space="preserve"> to </w:t>
            </w:r>
            <w:r>
              <w:rPr>
                <w:rFonts w:ascii="Calibri" w:cs="Calibri" w:eastAsia="Calibri" w:hAnsi="Calibri"/>
                <w:b/>
                <w:bCs/>
                <w:sz w:val="19"/>
                <w:szCs w:val="19"/>
              </w:rPr>
              <w:t xml:space="preserve">[TO]</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number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NRIC or FIN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and department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Mode of payment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credit to account </w:t>
            </w: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[BANK]</w:t>
            </w:r>
          </w:p>
        </w:tc>
      </w:tr>
    </w:tbl>
    <w:p>
      <w:pPr>
        <w:spacing w:after="140"/>
      </w:pPr>
    </w:p>
    <w:p>
      <w:pPr>
        <w:keepNext/>
        <w:spacing w:after="100" w:before="200"/>
        <w:outlineLvl w:val="1"/>
      </w:pPr>
      <w:r>
        <w:rPr>
          <w:rFonts w:ascii="Calibri" w:cs="Calibri" w:eastAsia="Calibri" w:hAnsi="Calibri"/>
          <w:b/>
          <w:bCs/>
          <w:color w:val="14161B"/>
          <w:sz w:val="21"/>
          <w:szCs w:val="21"/>
        </w:rPr>
        <w:t xml:space="preserve">Earnings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3855"/>
        <w:gridCol w:w="2313"/>
        <w:gridCol w:w="1156"/>
        <w:gridCol w:w="1736"/>
      </w:tblGrid>
      <w:tr>
        <w:trPr>
          <w:tblHeader/>
        </w:trPr>
        <w:tc>
          <w:tcPr>
            <w:tcW w:type="dxa" w:w="578"/>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Rate / basis</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Units</w:t>
            </w:r>
          </w:p>
        </w:tc>
        <w:tc>
          <w:tcPr>
            <w:tcW w:type="dxa" w:w="173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(S$)</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Basic salary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______ per month]</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[1 month]</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5a</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[Allowance — name it]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5b</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[Allowance — name it]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5c</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[Allowance — name it]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6a</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[Additional payment — bonus]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6b</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[Additional payment — commission or incentive]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6c</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[Additional payment — rest day or public holiday pay]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[Additional payment — reimbursement]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578"/>
            <w:tcMar>
              <w:top w:type="dxa" w:w="70"/>
              <w:left w:type="dxa" w:w="100"/>
              <w:bottom w:type="dxa" w:w="70"/>
              <w:right w:type="dxa" w:w="100"/>
            </w:tcMar>
            <w:vAlign w:val="center"/>
          </w:tcPr>
          <w:p>
            <w:pPr>
              <w:spacing w:after="0" w:line="240"/>
              <w:jc w:val="center"/>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earnings before overtime</w:t>
            </w:r>
          </w:p>
        </w:tc>
        <w:tc>
          <w:tcPr>
            <w:tcW w:type="dxa" w:w="2313"/>
            <w:tcMar>
              <w:top w:type="dxa" w:w="70"/>
              <w:left w:type="dxa" w:w="100"/>
              <w:bottom w:type="dxa" w:w="70"/>
              <w:right w:type="dxa" w:w="100"/>
            </w:tcMar>
            <w:vAlign w:val="center"/>
          </w:tcPr>
          <w:p>
            <w:pPr>
              <w:spacing w:after="0" w:line="240"/>
              <w:jc w:val="left"/>
            </w:pPr>
          </w:p>
        </w:tc>
        <w:tc>
          <w:tcPr>
            <w:tcW w:type="dxa" w:w="1156"/>
            <w:tcMar>
              <w:top w:type="dxa" w:w="70"/>
              <w:left w:type="dxa" w:w="100"/>
              <w:bottom w:type="dxa" w:w="70"/>
              <w:right w:type="dxa" w:w="100"/>
            </w:tcMar>
            <w:vAlign w:val="center"/>
          </w:tcPr>
          <w:p>
            <w:pPr>
              <w:spacing w:after="0" w:line="240"/>
              <w:jc w:val="center"/>
            </w:pP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40"/>
      </w:pPr>
    </w:p>
    <w:p>
      <w:pPr>
        <w:keepNext/>
        <w:spacing w:after="100" w:before="200"/>
        <w:outlineLvl w:val="1"/>
      </w:pPr>
      <w:r>
        <w:rPr>
          <w:rFonts w:ascii="Calibri" w:cs="Calibri" w:eastAsia="Calibri" w:hAnsi="Calibri"/>
          <w:b/>
          <w:bCs/>
          <w:color w:val="14161B"/>
          <w:sz w:val="21"/>
          <w:szCs w:val="21"/>
        </w:rPr>
        <w:t xml:space="preserve">Overtime</w:t>
      </w:r>
    </w:p>
    <w:p>
      <w:pPr>
        <w:spacing w:after="120" w:before="0" w:line="276"/>
        <w:jc w:val="both"/>
      </w:pPr>
      <w:r>
        <w:rPr>
          <w:rFonts w:ascii="Calibri" w:cs="Calibri" w:eastAsia="Calibri" w:hAnsi="Calibri"/>
          <w:i/>
          <w:iCs/>
          <w:sz w:val="21"/>
          <w:szCs w:val="21"/>
        </w:rPr>
        <w:t xml:space="preserve">Complete where the employee is covered by Part IV of the Employment Act. Overtime is payable at 1.5 times the hourly basic rate.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3855"/>
        <w:gridCol w:w="5205"/>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Overtime payment period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[FROM]</w:t>
            </w:r>
            <w:r>
              <w:rPr>
                <w:rFonts w:ascii="Calibri" w:cs="Calibri" w:eastAsia="Calibri" w:hAnsi="Calibri"/>
                <w:sz w:val="18"/>
                <w:szCs w:val="18"/>
              </w:rPr>
              <w:t xml:space="preserve"> to </w:t>
            </w:r>
            <w:r>
              <w:rPr>
                <w:rFonts w:ascii="Calibri" w:cs="Calibri" w:eastAsia="Calibri" w:hAnsi="Calibri"/>
                <w:b/>
                <w:bCs/>
                <w:sz w:val="18"/>
                <w:szCs w:val="18"/>
              </w:rPr>
              <w:t xml:space="preserve">[TO]</w:t>
            </w:r>
            <w:r>
              <w:rPr>
                <w:rFonts w:ascii="Calibri" w:cs="Calibri" w:eastAsia="Calibri" w:hAnsi="Calibri"/>
                <w:sz w:val="18"/>
                <w:szCs w:val="18"/>
              </w:rPr>
              <w:t xml:space="preserve"> </w:t>
            </w:r>
            <w:r>
              <w:rPr>
                <w:rFonts w:ascii="Calibri" w:cs="Calibri" w:eastAsia="Calibri" w:hAnsi="Calibri"/>
                <w:i/>
                <w:iCs/>
                <w:sz w:val="18"/>
                <w:szCs w:val="18"/>
              </w:rPr>
              <w:t xml:space="preserve">(where different from the salary period)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 of overtime hours worked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[HOURS]</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Overtime pay</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p>
        </w:tc>
      </w:tr>
      <w:tr>
        <w:tc>
          <w:tcPr>
            <w:tcW w:type="dxa" w:w="578"/>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Hourly basic rate of pay</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w:t>
            </w:r>
            <w:r>
              <w:rPr>
                <w:rFonts w:ascii="Calibri" w:cs="Calibri" w:eastAsia="Calibri" w:hAnsi="Calibri"/>
                <w:b/>
                <w:bCs/>
                <w:sz w:val="18"/>
                <w:szCs w:val="18"/>
              </w:rPr>
              <w:t xml:space="preserve">[AMOUNT]</w:t>
            </w:r>
          </w:p>
        </w:tc>
      </w:tr>
      <w:tr>
        <w:tc>
          <w:tcPr>
            <w:tcW w:type="dxa" w:w="578"/>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Overtime rate applied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 × hourly basic rate</w:t>
            </w:r>
          </w:p>
        </w:tc>
      </w:tr>
      <w:tr>
        <w:tc>
          <w:tcPr>
            <w:tcW w:type="dxa" w:w="578"/>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Computation</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[HOURS]</w:t>
            </w:r>
            <w:r>
              <w:rPr>
                <w:rFonts w:ascii="Calibri" w:cs="Calibri" w:eastAsia="Calibri" w:hAnsi="Calibri"/>
                <w:sz w:val="18"/>
                <w:szCs w:val="18"/>
              </w:rPr>
              <w:t xml:space="preserve"> × S$ </w:t>
            </w:r>
            <w:r>
              <w:rPr>
                <w:rFonts w:ascii="Calibri" w:cs="Calibri" w:eastAsia="Calibri" w:hAnsi="Calibri"/>
                <w:b/>
                <w:bCs/>
                <w:sz w:val="18"/>
                <w:szCs w:val="18"/>
              </w:rPr>
              <w:t xml:space="preserve">[RATE]</w:t>
            </w:r>
            <w:r>
              <w:rPr>
                <w:rFonts w:ascii="Calibri" w:cs="Calibri" w:eastAsia="Calibri" w:hAnsi="Calibri"/>
                <w:sz w:val="18"/>
                <w:szCs w:val="18"/>
              </w:rPr>
              <w:t xml:space="preserve"> × 1.5 = S$ </w:t>
            </w:r>
            <w:r>
              <w:rPr>
                <w:rFonts w:ascii="Calibri" w:cs="Calibri" w:eastAsia="Calibri" w:hAnsi="Calibri"/>
                <w:b/>
                <w:bCs/>
                <w:sz w:val="18"/>
                <w:szCs w:val="18"/>
              </w:rPr>
              <w:t xml:space="preserve">[AMOUNT]</w:t>
            </w:r>
          </w:p>
        </w:tc>
      </w:tr>
    </w:tbl>
    <w:p>
      <w:pPr>
        <w:spacing w:after="140"/>
      </w:pPr>
    </w:p>
    <w:p>
      <w:pPr>
        <w:keepNext/>
        <w:spacing w:after="100" w:before="200"/>
        <w:outlineLvl w:val="1"/>
      </w:pPr>
      <w:r>
        <w:rPr>
          <w:rFonts w:ascii="Calibri" w:cs="Calibri" w:eastAsia="Calibri" w:hAnsi="Calibri"/>
          <w:b/>
          <w:bCs/>
          <w:color w:val="14161B"/>
          <w:sz w:val="21"/>
          <w:szCs w:val="21"/>
        </w:rPr>
        <w:t xml:space="preserve">Deductions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74"/>
        <w:gridCol w:w="3662"/>
        <w:gridCol w:w="3566"/>
        <w:gridCol w:w="1736"/>
      </w:tblGrid>
      <w:tr>
        <w:trPr>
          <w:tblHeader/>
        </w:trPr>
        <w:tc>
          <w:tcPr>
            <w:tcW w:type="dxa" w:w="67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356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 / authority</w:t>
            </w:r>
          </w:p>
        </w:tc>
        <w:tc>
          <w:tcPr>
            <w:tcW w:type="dxa" w:w="173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(S$)</w:t>
            </w:r>
          </w:p>
        </w:tc>
      </w:tr>
      <w:tr>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10a</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Central Provident Fund contribution</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 citizens and permanent residents only</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10b</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[Deduction for absence]</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Permitted deduction</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10c</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[Deduction for damage or loss]</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Permitted only after due inquiry — see the notes</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[Deduction for accommodation, amenity or service]</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Requires the employee’s written consent</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[Recovery of advance or loan]</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Permitted deduction</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10f</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 specify]</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[AUTHORITY]</w:t>
            </w: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674"/>
            <w:tcMar>
              <w:top w:type="dxa" w:w="70"/>
              <w:left w:type="dxa" w:w="100"/>
              <w:bottom w:type="dxa" w:w="70"/>
              <w:right w:type="dxa" w:w="100"/>
            </w:tcMar>
            <w:vAlign w:val="center"/>
          </w:tcPr>
          <w:p>
            <w:pPr>
              <w:spacing w:after="0" w:line="240"/>
              <w:jc w:val="center"/>
            </w:pP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deductions</w:t>
            </w:r>
          </w:p>
        </w:tc>
        <w:tc>
          <w:tcPr>
            <w:tcW w:type="dxa" w:w="3566"/>
            <w:tcMar>
              <w:top w:type="dxa" w:w="70"/>
              <w:left w:type="dxa" w:w="100"/>
              <w:bottom w:type="dxa" w:w="70"/>
              <w:right w:type="dxa" w:w="100"/>
            </w:tcMar>
            <w:vAlign w:val="center"/>
          </w:tcPr>
          <w:p>
            <w:pPr>
              <w:spacing w:after="0" w:line="240"/>
              <w:jc w:val="left"/>
            </w:pPr>
          </w:p>
        </w:tc>
        <w:tc>
          <w:tcPr>
            <w:tcW w:type="dxa" w:w="173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r>
              <w:rPr>
                <w:rFonts w:ascii="Calibri" w:cs="Calibri" w:eastAsia="Calibri" w:hAnsi="Calibri"/>
                <w:b/>
                <w:bCs/>
                <w:sz w:val="18"/>
                <w:szCs w:val="18"/>
              </w:rPr>
              <w:t xml:space="preserve">[AMOUNT]</w:t>
            </w:r>
            <w:r>
              <w:rPr>
                <w:rFonts w:ascii="Calibri" w:cs="Calibri" w:eastAsia="Calibri" w:hAnsi="Calibri"/>
                <w:b/>
                <w:bCs/>
                <w:sz w:val="18"/>
                <w:szCs w:val="18"/>
              </w:rPr>
              <w:t xml:space="preserve">)</w:t>
            </w:r>
          </w:p>
        </w:tc>
      </w:tr>
    </w:tbl>
    <w:p>
      <w:pPr>
        <w:spacing w:after="140"/>
      </w:pPr>
    </w:p>
    <w:p>
      <w:pPr>
        <w:keepNext/>
        <w:spacing w:after="100" w:before="200"/>
        <w:outlineLvl w:val="1"/>
      </w:pPr>
      <w:r>
        <w:rPr>
          <w:rFonts w:ascii="Calibri" w:cs="Calibri" w:eastAsia="Calibri" w:hAnsi="Calibri"/>
          <w:b/>
          <w:bCs/>
          <w:color w:val="14161B"/>
          <w:sz w:val="21"/>
          <w:szCs w:val="21"/>
        </w:rPr>
        <w:t xml:space="preserve">Net Salary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74"/>
        <w:gridCol w:w="6071"/>
        <w:gridCol w:w="2893"/>
      </w:tblGrid>
      <w:tr>
        <w:trPr>
          <w:tblHeader/>
        </w:trPr>
        <w:tc>
          <w:tcPr>
            <w:tcW w:type="dxa" w:w="674"/>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w:t>
            </w:r>
          </w:p>
        </w:tc>
        <w:tc>
          <w:tcPr>
            <w:tcW w:type="dxa" w:w="60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289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(S$)</w:t>
            </w:r>
          </w:p>
        </w:tc>
      </w:tr>
      <w:tr>
        <w:tc>
          <w:tcPr>
            <w:tcW w:type="dxa" w:w="674"/>
            <w:tcMar>
              <w:top w:type="dxa" w:w="70"/>
              <w:left w:type="dxa" w:w="100"/>
              <w:bottom w:type="dxa" w:w="70"/>
              <w:right w:type="dxa" w:w="100"/>
            </w:tcMar>
            <w:vAlign w:val="center"/>
          </w:tcPr>
          <w:p>
            <w:pPr>
              <w:spacing w:after="0" w:line="240"/>
              <w:jc w:val="center"/>
            </w:pP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earnings</w:t>
            </w:r>
          </w:p>
        </w:tc>
        <w:tc>
          <w:tcPr>
            <w:tcW w:type="dxa" w:w="289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74"/>
            <w:tcMar>
              <w:top w:type="dxa" w:w="70"/>
              <w:left w:type="dxa" w:w="100"/>
              <w:bottom w:type="dxa" w:w="70"/>
              <w:right w:type="dxa" w:w="100"/>
            </w:tcMar>
            <w:vAlign w:val="center"/>
          </w:tcPr>
          <w:p>
            <w:pPr>
              <w:spacing w:after="0" w:line="240"/>
              <w:jc w:val="center"/>
            </w:pP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 overtime pay</w:t>
            </w:r>
          </w:p>
        </w:tc>
        <w:tc>
          <w:tcPr>
            <w:tcW w:type="dxa" w:w="289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74"/>
            <w:tcMar>
              <w:top w:type="dxa" w:w="70"/>
              <w:left w:type="dxa" w:w="100"/>
              <w:bottom w:type="dxa" w:w="70"/>
              <w:right w:type="dxa" w:w="100"/>
            </w:tcMar>
            <w:vAlign w:val="center"/>
          </w:tcPr>
          <w:p>
            <w:pPr>
              <w:spacing w:after="0" w:line="240"/>
              <w:jc w:val="center"/>
            </w:pP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Gross salary</w:t>
            </w:r>
          </w:p>
        </w:tc>
        <w:tc>
          <w:tcPr>
            <w:tcW w:type="dxa" w:w="289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74"/>
            <w:tcMar>
              <w:top w:type="dxa" w:w="70"/>
              <w:left w:type="dxa" w:w="100"/>
              <w:bottom w:type="dxa" w:w="70"/>
              <w:right w:type="dxa" w:w="100"/>
            </w:tcMar>
            <w:vAlign w:val="center"/>
          </w:tcPr>
          <w:p>
            <w:pPr>
              <w:spacing w:after="0" w:line="240"/>
              <w:jc w:val="center"/>
            </w:pP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 total deductions</w:t>
            </w:r>
          </w:p>
        </w:tc>
        <w:tc>
          <w:tcPr>
            <w:tcW w:type="dxa" w:w="289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r>
      <w:tr>
        <w:tc>
          <w:tcPr>
            <w:tcW w:type="dxa" w:w="674"/>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11</w:t>
            </w: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Net salary paid</w:t>
            </w:r>
          </w:p>
        </w:tc>
        <w:tc>
          <w:tcPr>
            <w:tcW w:type="dxa" w:w="289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74"/>
            <w:tcMar>
              <w:top w:type="dxa" w:w="70"/>
              <w:left w:type="dxa" w:w="100"/>
              <w:bottom w:type="dxa" w:w="70"/>
              <w:right w:type="dxa" w:w="100"/>
            </w:tcMar>
            <w:vAlign w:val="center"/>
          </w:tcPr>
          <w:p>
            <w:pPr>
              <w:spacing w:after="0" w:line="240"/>
              <w:jc w:val="center"/>
            </w:pPr>
          </w:p>
        </w:tc>
        <w:tc>
          <w:tcPr>
            <w:tcW w:type="dxa" w:w="60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in words</w:t>
            </w:r>
          </w:p>
        </w:tc>
        <w:tc>
          <w:tcPr>
            <w:tcW w:type="dxa" w:w="289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[Singapore Dollars ______ only]</w:t>
            </w:r>
          </w:p>
        </w:tc>
      </w:tr>
    </w:tbl>
    <w:p>
      <w:pPr>
        <w:spacing w:after="140"/>
      </w:pPr>
    </w:p>
    <w:p>
      <w:pPr>
        <w:keepNext/>
        <w:spacing w:after="100" w:before="200"/>
        <w:outlineLvl w:val="1"/>
      </w:pPr>
      <w:r>
        <w:rPr>
          <w:rFonts w:ascii="Calibri" w:cs="Calibri" w:eastAsia="Calibri" w:hAnsi="Calibri"/>
          <w:b/>
          <w:bCs/>
          <w:color w:val="14161B"/>
          <w:sz w:val="21"/>
          <w:szCs w:val="21"/>
        </w:rPr>
        <w:t xml:space="preserve">Employer Contributions</w:t>
      </w:r>
    </w:p>
    <w:p>
      <w:pPr>
        <w:spacing w:after="120" w:before="0" w:line="276"/>
        <w:jc w:val="both"/>
      </w:pPr>
      <w:r>
        <w:rPr>
          <w:rFonts w:ascii="Calibri" w:cs="Calibri" w:eastAsia="Calibri" w:hAnsi="Calibri"/>
          <w:i/>
          <w:iCs/>
          <w:sz w:val="21"/>
          <w:szCs w:val="21"/>
        </w:rPr>
        <w:t xml:space="preserve">Not a deduction from the employee. Shown for transparency; not a mandatory payslip item.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746"/>
        <w:gridCol w:w="2892"/>
      </w:tblGrid>
      <w:tr>
        <w:trPr>
          <w:tblHeader/>
        </w:trPr>
        <w:tc>
          <w:tcPr>
            <w:tcW w:type="dxa" w:w="674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289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(S$)</w:t>
            </w:r>
          </w:p>
        </w:tc>
      </w:tr>
      <w:t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 Central Provident Fund contribution</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Skills Development Levy</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[Foreign worker levy, where applicable]</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employer contributions</w:t>
            </w:r>
          </w:p>
        </w:tc>
        <w:tc>
          <w:tcPr>
            <w:tcW w:type="dxa" w:w="289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bl>
    <w:p>
      <w:pPr>
        <w:spacing w:after="160"/>
      </w:pPr>
    </w:p>
    <w:p>
      <w:pPr>
        <w:spacing w:after="160" w:before="0" w:line="276"/>
        <w:jc w:val="both"/>
      </w:pPr>
      <w:r>
        <w:rPr>
          <w:rFonts w:ascii="Calibri" w:cs="Calibri" w:eastAsia="Calibri" w:hAnsi="Calibri"/>
          <w:i/>
          <w:iCs/>
          <w:sz w:val="21"/>
          <w:szCs w:val="21"/>
        </w:rPr>
        <w:t xml:space="preserve">Queries on this payslip should be raised with </w:t>
      </w:r>
      <w:r>
        <w:rPr>
          <w:rFonts w:ascii="Calibri" w:cs="Calibri" w:eastAsia="Calibri" w:hAnsi="Calibri"/>
          <w:b/>
          <w:bCs/>
          <w:i/>
          <w:iCs/>
          <w:sz w:val="21"/>
          <w:szCs w:val="21"/>
        </w:rPr>
        <w:t xml:space="preserve">[NAME]</w:t>
      </w:r>
      <w:r>
        <w:rPr>
          <w:rFonts w:ascii="Calibri" w:cs="Calibri" w:eastAsia="Calibri" w:hAnsi="Calibri"/>
          <w:i/>
          <w:iCs/>
          <w:sz w:val="21"/>
          <w:szCs w:val="21"/>
        </w:rPr>
        <w:t xml:space="preserve"> at </w:t>
      </w:r>
      <w:r>
        <w:rPr>
          <w:rFonts w:ascii="Calibri" w:cs="Calibri" w:eastAsia="Calibri" w:hAnsi="Calibri"/>
          <w:b/>
          <w:bCs/>
          <w:i/>
          <w:iCs/>
          <w:sz w:val="21"/>
          <w:szCs w:val="21"/>
        </w:rPr>
        <w:t xml:space="preserve">[EMAIL]</w:t>
      </w:r>
      <w:r>
        <w:rPr>
          <w:rFonts w:ascii="Calibri" w:cs="Calibri" w:eastAsia="Calibri" w:hAnsi="Calibri"/>
          <w:i/>
          <w:iCs/>
          <w:sz w:val="21"/>
          <w:szCs w:val="21"/>
        </w:rPr>
        <w:t xml:space="preserve"> within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days.</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THE ELEVEN MANDATORY ITEMS</w:t>
      </w:r>
    </w:p>
    <w:p>
      <w:pPr>
        <w:spacing w:after="260"/>
        <w:jc w:val="center"/>
      </w:pPr>
      <w:r>
        <w:rPr>
          <w:rFonts w:ascii="Calibri" w:cs="Calibri" w:eastAsia="Calibri" w:hAnsi="Calibri"/>
          <w:i/>
          <w:iCs/>
          <w:color w:val="6E7480"/>
          <w:sz w:val="19"/>
          <w:szCs w:val="19"/>
        </w:rPr>
        <w:t xml:space="preserve">Checklist — a payslip missing any of these does not comply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7324"/>
        <w:gridCol w:w="1736"/>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32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Mandatory item</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 this payslip?</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 name of employer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 name of employee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payment, or dates where the payslip consolidates multiple payments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Basic salary, with the rate and total number of units where paid hourly, daily or by piece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Start and end date of the salary period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Allowances paid for the salary period, itemised individually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other additional payment for the salary period, itemised individually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Deductions made for the salary period, itemised individually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Overtime hours worked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Overtime pay, and the overtime payment period where different from the salary period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Net salary paid in total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spacing w:after="160"/>
      </w:pPr>
    </w:p>
    <w:p>
      <w:pPr>
        <w:spacing w:after="60" w:before="240"/>
        <w:jc w:val="center"/>
      </w:pPr>
      <w:r>
        <w:rPr>
          <w:rFonts w:ascii="Calibri" w:cs="Calibri" w:eastAsia="Calibri" w:hAnsi="Calibri"/>
          <w:b/>
          <w:bCs/>
          <w:color w:val="14161B"/>
          <w:spacing w:val="12"/>
          <w:sz w:val="28"/>
          <w:szCs w:val="28"/>
        </w:rPr>
        <w:t xml:space="preserve">ISSUANCE RECORD</w:t>
      </w:r>
    </w:p>
    <w:p>
      <w:pPr>
        <w:spacing w:after="260"/>
        <w:jc w:val="center"/>
      </w:pPr>
      <w:r>
        <w:rPr>
          <w:rFonts w:ascii="Calibri" w:cs="Calibri" w:eastAsia="Calibri" w:hAnsi="Calibri"/>
          <w:i/>
          <w:iCs/>
          <w:color w:val="6E7480"/>
          <w:sz w:val="19"/>
          <w:szCs w:val="19"/>
        </w:rPr>
        <w:t xml:space="preserve">Internal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7324"/>
        <w:gridCol w:w="1736"/>
      </w:tblGrid>
      <w:tr>
        <w:trPr>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32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Control</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Confirmed</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Payslip issued with payment, or within three working days of it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employment ended, payslip issued within three days of the final payment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Allowances itemised individually, not aggregated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Deductions itemised individually with the basis stated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deductions within the statutory limit for the salary period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Overtime hours and pay shown where the employee is covered by Part IV</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Central Provident Fund computed on the correct wage base and age band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 Central Provident Fund deducted for a work pass holder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Payslip retained in the employment records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32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 paid within seven days of the end of the salary period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Every salary period, every covered employee</w:t>
      </w:r>
    </w:p>
    <w:p>
      <w:pPr>
        <w:spacing w:after="60" w:line="264"/>
        <w:jc w:val="both"/>
      </w:pPr>
      <w:r>
        <w:rPr>
          <w:rFonts w:ascii="Calibri" w:cs="Calibri" w:eastAsia="Calibri" w:hAnsi="Calibri"/>
          <w:sz w:val="19"/>
          <w:szCs w:val="19"/>
        </w:rPr>
        <w:t xml:space="preserve">The obligation applies to all employees covered by the Employment Act. It is not limited to junior staff, and it is not satisfied by a bank transfer notification. Employers who pay accurately but issue nothing are in breach, and it is among the easiest contraventions for an inspection to establish.</w:t>
      </w:r>
    </w:p>
    <w:p>
      <w:pPr>
        <w:keepNext/>
        <w:spacing w:after="40" w:before="140"/>
      </w:pPr>
      <w:r>
        <w:rPr>
          <w:rFonts w:ascii="Calibri" w:cs="Calibri" w:eastAsia="Calibri" w:hAnsi="Calibri"/>
          <w:b/>
          <w:bCs/>
          <w:color w:val="14161B"/>
          <w:sz w:val="20"/>
          <w:szCs w:val="20"/>
        </w:rPr>
        <w:t xml:space="preserve">Soft copy is acceptable</w:t>
      </w:r>
    </w:p>
    <w:p>
      <w:pPr>
        <w:spacing w:after="60" w:line="264"/>
        <w:jc w:val="both"/>
      </w:pPr>
      <w:r>
        <w:rPr>
          <w:rFonts w:ascii="Calibri" w:cs="Calibri" w:eastAsia="Calibri" w:hAnsi="Calibri"/>
          <w:sz w:val="19"/>
          <w:szCs w:val="19"/>
        </w:rPr>
        <w:t xml:space="preserve">A payslip may be issued in soft or hard copy, or handwritten. What matters is that the employee receives it within the deadline and that the employer can evidence issue. A payslip available on a portal the employee can access and download satisfies the requirement; one generated but never sent does not.</w:t>
      </w:r>
    </w:p>
    <w:p>
      <w:pPr>
        <w:keepNext/>
        <w:spacing w:after="40" w:before="140"/>
      </w:pPr>
      <w:r>
        <w:rPr>
          <w:rFonts w:ascii="Calibri" w:cs="Calibri" w:eastAsia="Calibri" w:hAnsi="Calibri"/>
          <w:b/>
          <w:bCs/>
          <w:color w:val="14161B"/>
          <w:sz w:val="20"/>
          <w:szCs w:val="20"/>
        </w:rPr>
        <w:t xml:space="preserve">Three working days, and three days on termination</w:t>
      </w:r>
    </w:p>
    <w:p>
      <w:pPr>
        <w:spacing w:after="60" w:line="264"/>
        <w:jc w:val="both"/>
      </w:pPr>
      <w:r>
        <w:rPr>
          <w:rFonts w:ascii="Calibri" w:cs="Calibri" w:eastAsia="Calibri" w:hAnsi="Calibri"/>
          <w:sz w:val="19"/>
          <w:szCs w:val="19"/>
        </w:rPr>
        <w:t xml:space="preserve">The payslip must be given together with payment or within three working days of it. Where employment is terminated, the payslip for the final payment must be given within three days. The termination deadline is the one most often missed, because the final payment is frequently processed outside the normal payroll run.</w:t>
      </w:r>
    </w:p>
    <w:p>
      <w:pPr>
        <w:keepNext/>
        <w:spacing w:after="40" w:before="140"/>
      </w:pPr>
      <w:r>
        <w:rPr>
          <w:rFonts w:ascii="Calibri" w:cs="Calibri" w:eastAsia="Calibri" w:hAnsi="Calibri"/>
          <w:b/>
          <w:bCs/>
          <w:color w:val="14161B"/>
          <w:sz w:val="20"/>
          <w:szCs w:val="20"/>
        </w:rPr>
        <w:t xml:space="preserve">Itemise — aggregation is the most common defect</w:t>
      </w:r>
    </w:p>
    <w:p>
      <w:pPr>
        <w:spacing w:after="60" w:line="264"/>
        <w:jc w:val="both"/>
      </w:pPr>
      <w:r>
        <w:rPr>
          <w:rFonts w:ascii="Calibri" w:cs="Calibri" w:eastAsia="Calibri" w:hAnsi="Calibri"/>
          <w:sz w:val="19"/>
          <w:szCs w:val="19"/>
        </w:rPr>
        <w:t xml:space="preserve">Items 6, 7 and 8 require allowances, additional payments and deductions to be listed individually. A single line reading "allowances S$800" does not comply, and it makes the payslip impossible to reconcile against the key employment terms. Name each component.</w:t>
      </w:r>
    </w:p>
    <w:p>
      <w:pPr>
        <w:keepNext/>
        <w:spacing w:after="40" w:before="140"/>
      </w:pPr>
      <w:r>
        <w:rPr>
          <w:rFonts w:ascii="Calibri" w:cs="Calibri" w:eastAsia="Calibri" w:hAnsi="Calibri"/>
          <w:b/>
          <w:bCs/>
          <w:color w:val="14161B"/>
          <w:sz w:val="20"/>
          <w:szCs w:val="20"/>
        </w:rPr>
        <w:t xml:space="preserve">Overtime hours must appear, not just the amount</w:t>
      </w:r>
    </w:p>
    <w:p>
      <w:pPr>
        <w:spacing w:after="60" w:line="264"/>
        <w:jc w:val="both"/>
      </w:pPr>
      <w:r>
        <w:rPr>
          <w:rFonts w:ascii="Calibri" w:cs="Calibri" w:eastAsia="Calibri" w:hAnsi="Calibri"/>
          <w:sz w:val="19"/>
          <w:szCs w:val="19"/>
        </w:rPr>
        <w:t xml:space="preserve">Items 9 and 10 require the number of overtime hours worked as well as the pay. Showing only a lump sum is a defect and prevents the employee from checking the computation. Where the overtime payment period differs from the salary period, both dates must be shown.</w:t>
      </w:r>
    </w:p>
    <w:p>
      <w:pPr>
        <w:keepNext/>
        <w:spacing w:after="40" w:before="140"/>
      </w:pPr>
      <w:r>
        <w:rPr>
          <w:rFonts w:ascii="Calibri" w:cs="Calibri" w:eastAsia="Calibri" w:hAnsi="Calibri"/>
          <w:b/>
          <w:bCs/>
          <w:color w:val="14161B"/>
          <w:sz w:val="20"/>
          <w:szCs w:val="20"/>
        </w:rPr>
        <w:t xml:space="preserve">Overtime is 1.5 times the hourly basic rate</w:t>
      </w:r>
    </w:p>
    <w:p>
      <w:pPr>
        <w:spacing w:after="60" w:line="264"/>
        <w:jc w:val="both"/>
      </w:pPr>
      <w:r>
        <w:rPr>
          <w:rFonts w:ascii="Calibri" w:cs="Calibri" w:eastAsia="Calibri" w:hAnsi="Calibri"/>
          <w:sz w:val="19"/>
          <w:szCs w:val="19"/>
        </w:rPr>
        <w:t xml:space="preserve">For employees covered by Part IV, overtime is payable at one and a half times the hourly basic rate. Note that this differs from jurisdictions applying a double-time rate; regional payroll systems configured for another country will overpay or underpay. Overtime must be paid within fourteen days after the end of the salary period.</w:t>
      </w:r>
    </w:p>
    <w:p>
      <w:pPr>
        <w:keepNext/>
        <w:spacing w:after="40" w:before="140"/>
      </w:pPr>
      <w:r>
        <w:rPr>
          <w:rFonts w:ascii="Calibri" w:cs="Calibri" w:eastAsia="Calibri" w:hAnsi="Calibri"/>
          <w:b/>
          <w:bCs/>
          <w:color w:val="14161B"/>
          <w:sz w:val="20"/>
          <w:szCs w:val="20"/>
        </w:rPr>
        <w:t xml:space="preserve">Deductions are limited, and some need consent or inquiry</w:t>
      </w:r>
    </w:p>
    <w:p>
      <w:pPr>
        <w:spacing w:after="60" w:line="264"/>
        <w:jc w:val="both"/>
      </w:pPr>
      <w:r>
        <w:rPr>
          <w:rFonts w:ascii="Calibri" w:cs="Calibri" w:eastAsia="Calibri" w:hAnsi="Calibri"/>
          <w:sz w:val="19"/>
          <w:szCs w:val="19"/>
        </w:rPr>
        <w:t xml:space="preserve">Only authorised deductions may be made. Deductions for damage or loss may be made only after a due inquiry giving the employee an opportunity to explain, and are subject to a cap. Deductions for accommodation, amenities or services require the employee’s written consent. The total deducted in any salary period is subject to a statutory limit, excluding deductions for absence, income tax and Central Provident Fund contributions.</w:t>
      </w:r>
    </w:p>
    <w:p>
      <w:pPr>
        <w:keepNext/>
        <w:spacing w:after="40" w:before="140"/>
      </w:pPr>
      <w:r>
        <w:rPr>
          <w:rFonts w:ascii="Calibri" w:cs="Calibri" w:eastAsia="Calibri" w:hAnsi="Calibri"/>
          <w:b/>
          <w:bCs/>
          <w:color w:val="14161B"/>
          <w:sz w:val="20"/>
          <w:szCs w:val="20"/>
        </w:rPr>
        <w:t xml:space="preserve">Central Provident Fund is not deducted for pass holders</w:t>
      </w:r>
    </w:p>
    <w:p>
      <w:pPr>
        <w:spacing w:after="60" w:line="264"/>
        <w:jc w:val="both"/>
      </w:pPr>
      <w:r>
        <w:rPr>
          <w:rFonts w:ascii="Calibri" w:cs="Calibri" w:eastAsia="Calibri" w:hAnsi="Calibri"/>
          <w:sz w:val="19"/>
          <w:szCs w:val="19"/>
        </w:rPr>
        <w:t xml:space="preserve">Never show a Central Provident Fund deduction for an Employment Pass, S Pass or Work Permit holder — contributions are not payable for them and making them is an offence. Control 8 in the issuance record exists because regional payroll templates frequently carry this error across from another jurisdiction.</w:t>
      </w:r>
    </w:p>
    <w:p>
      <w:pPr>
        <w:keepNext/>
        <w:spacing w:after="40" w:before="140"/>
      </w:pPr>
      <w:r>
        <w:rPr>
          <w:rFonts w:ascii="Calibri" w:cs="Calibri" w:eastAsia="Calibri" w:hAnsi="Calibri"/>
          <w:b/>
          <w:bCs/>
          <w:color w:val="14161B"/>
          <w:sz w:val="20"/>
          <w:szCs w:val="20"/>
        </w:rPr>
        <w:t xml:space="preserve">Employer contributions are not deductions</w:t>
      </w:r>
    </w:p>
    <w:p>
      <w:pPr>
        <w:spacing w:after="60" w:line="264"/>
        <w:jc w:val="both"/>
      </w:pPr>
      <w:r>
        <w:rPr>
          <w:rFonts w:ascii="Calibri" w:cs="Calibri" w:eastAsia="Calibri" w:hAnsi="Calibri"/>
          <w:sz w:val="19"/>
          <w:szCs w:val="19"/>
        </w:rPr>
        <w:t xml:space="preserve">The employer’s Central Provident Fund contribution, the Skills Development Levy and any foreign worker levy are costs to the employer, not deductions from the employee. Showing them in the deductions block understates net pay on the face of the document and causes avoidable disputes. Keep them in a separate section, clearly labelled, or omit them.</w:t>
      </w:r>
    </w:p>
    <w:p>
      <w:pPr>
        <w:keepNext/>
        <w:spacing w:after="40" w:before="140"/>
      </w:pPr>
      <w:r>
        <w:rPr>
          <w:rFonts w:ascii="Calibri" w:cs="Calibri" w:eastAsia="Calibri" w:hAnsi="Calibri"/>
          <w:b/>
          <w:bCs/>
          <w:color w:val="14161B"/>
          <w:sz w:val="20"/>
          <w:szCs w:val="20"/>
        </w:rPr>
        <w:t xml:space="preserve">Salary within seven days of the salary period</w:t>
      </w:r>
    </w:p>
    <w:p>
      <w:pPr>
        <w:spacing w:after="60" w:line="264"/>
        <w:jc w:val="both"/>
      </w:pPr>
      <w:r>
        <w:rPr>
          <w:rFonts w:ascii="Calibri" w:cs="Calibri" w:eastAsia="Calibri" w:hAnsi="Calibri"/>
          <w:sz w:val="19"/>
          <w:szCs w:val="19"/>
        </w:rPr>
        <w:t xml:space="preserve">Salary must be paid at least once a month and within seven days after the end of the salary period. Overtime has its own fourteen-day deadline. A payslip issued on time for a payment made late does not cure the late payment.</w:t>
      </w:r>
    </w:p>
    <w:p>
      <w:pPr>
        <w:keepNext/>
        <w:spacing w:after="40" w:before="140"/>
      </w:pPr>
      <w:r>
        <w:rPr>
          <w:rFonts w:ascii="Calibri" w:cs="Calibri" w:eastAsia="Calibri" w:hAnsi="Calibri"/>
          <w:b/>
          <w:bCs/>
          <w:color w:val="14161B"/>
          <w:sz w:val="20"/>
          <w:szCs w:val="20"/>
        </w:rPr>
        <w:t xml:space="preserve">Keep them</w:t>
      </w:r>
    </w:p>
    <w:p>
      <w:pPr>
        <w:spacing w:after="60" w:line="264"/>
        <w:jc w:val="both"/>
      </w:pPr>
      <w:r>
        <w:rPr>
          <w:rFonts w:ascii="Calibri" w:cs="Calibri" w:eastAsia="Calibri" w:hAnsi="Calibri"/>
          <w:sz w:val="19"/>
          <w:szCs w:val="19"/>
        </w:rPr>
        <w:t xml:space="preserve">Payslips form part of the employment records that must be maintained and retained for the prescribed period — currently two years for current employees, and one year after an employee leaves. Where a salary claim is brought at the Tripartite Alliance for Dispute Management or the Employment Claims Tribunal, the payslip file is the employer’s evidence.</w:t>
      </w:r>
    </w:p>
    <w:p>
      <w:pPr>
        <w:keepNext/>
        <w:spacing w:after="40" w:before="140"/>
      </w:pPr>
      <w:r>
        <w:rPr>
          <w:rFonts w:ascii="Calibri" w:cs="Calibri" w:eastAsia="Calibri" w:hAnsi="Calibri"/>
          <w:b/>
          <w:bCs/>
          <w:color w:val="14161B"/>
          <w:sz w:val="20"/>
          <w:szCs w:val="20"/>
        </w:rPr>
        <w:t xml:space="preserve">Key employment terms and payslips must agree</w:t>
      </w:r>
    </w:p>
    <w:p>
      <w:pPr>
        <w:spacing w:after="60" w:line="264"/>
        <w:jc w:val="both"/>
      </w:pPr>
      <w:r>
        <w:rPr>
          <w:rFonts w:ascii="Calibri" w:cs="Calibri" w:eastAsia="Calibri" w:hAnsi="Calibri"/>
          <w:sz w:val="19"/>
          <w:szCs w:val="19"/>
        </w:rPr>
        <w:t xml:space="preserve">The allowances named in the key employment terms should be the allowances itemised on the payslip. Where they diverge — an allowance quietly dropped, or a new one appearing — that is a change of terms and should be notified in writing.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Central Provident Fund rates and ceilings, Part IV coverage thresholds, deduction limits and record-retention periods all change — have the payroll configuration reviewed by a specialist at the start of each year, and note that a review of the Employment Act is under way with proposals expected in the second half of 2026.</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2026-08-22T06:55:28.283Z</dcterms:created>
  <dcterms:modified xsi:type="dcterms:W3CDTF">2026-08-22T06:55:28.283Z</dcterms:modified>
</cp:coreProperties>
</file>

<file path=docProps/custom.xml><?xml version="1.0" encoding="utf-8"?>
<Properties xmlns="http://schemas.openxmlformats.org/officeDocument/2006/custom-properties" xmlns:vt="http://schemas.openxmlformats.org/officeDocument/2006/docPropsVTypes"/>
</file>