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EMPLOYMENT INCOME REPORTING</w:t>
      </w:r>
    </w:p>
    <w:p>
      <w:pPr>
        <w:spacing w:after="260"/>
        <w:jc w:val="center"/>
      </w:pPr>
      <w:r>
        <w:rPr>
          <w:rFonts w:ascii="Calibri" w:cs="Calibri" w:eastAsia="Calibri" w:hAnsi="Calibri"/>
          <w:i/>
          <w:iCs/>
          <w:color w:val="6E7480"/>
          <w:sz w:val="19"/>
          <w:szCs w:val="19"/>
        </w:rPr>
        <w:t xml:space="preserve">Form IR8A and the Auto-Inclusion Scheme</w:t>
      </w:r>
    </w:p>
    <w:p>
      <w:pPr>
        <w:spacing w:after="180" w:before="0" w:line="276"/>
        <w:jc w:val="both"/>
      </w:pPr>
      <w:r>
        <w:rPr>
          <w:rFonts w:ascii="Calibri" w:cs="Calibri" w:eastAsia="Calibri" w:hAnsi="Calibri"/>
          <w:i/>
          <w:iCs/>
          <w:color w:val="6E7480"/>
          <w:sz w:val="21"/>
          <w:szCs w:val="21"/>
        </w:rPr>
        <w:t xml:space="preserve">Every employer must report employment income annually. Where the employer is in the Auto-Inclusion Scheme, the submission goes directly into employees’ tax returns — which means an error is not a private matter between employer and employee but a wrong tax return filed on the employee’s behalf. The deadline is </w:t>
      </w:r>
      <w:r>
        <w:rPr>
          <w:rFonts w:ascii="Calibri" w:cs="Calibri" w:eastAsia="Calibri" w:hAnsi="Calibri"/>
          <w:b/>
          <w:bCs/>
          <w:i/>
          <w:iCs/>
          <w:color w:val="6E7480"/>
          <w:sz w:val="21"/>
          <w:szCs w:val="21"/>
        </w:rPr>
        <w:t xml:space="preserve">1 March</w:t>
      </w:r>
      <w:r>
        <w:rPr>
          <w:rFonts w:ascii="Calibri" w:cs="Calibri" w:eastAsia="Calibri" w:hAnsi="Calibri"/>
          <w:i/>
          <w:iCs/>
          <w:color w:val="6E7480"/>
          <w:sz w:val="21"/>
          <w:szCs w:val="21"/>
        </w:rPr>
        <w:t xml:space="preserve">, and it does not move.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Year of assessment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[YEAR]</w:t>
            </w:r>
            <w:r>
              <w:rPr>
                <w:rFonts w:ascii="Calibri" w:cs="Calibri" w:eastAsia="Calibri" w:hAnsi="Calibri"/>
                <w:sz w:val="19"/>
                <w:szCs w:val="19"/>
              </w:rPr>
              <w:t xml:space="preserve"> — for income earned in </w:t>
            </w:r>
            <w:r>
              <w:rPr>
                <w:rFonts w:ascii="Calibri" w:cs="Calibri" w:eastAsia="Calibri" w:hAnsi="Calibri"/>
                <w:b/>
                <w:bCs/>
                <w:sz w:val="19"/>
                <w:szCs w:val="19"/>
              </w:rPr>
              <w:t xml:space="preserve">[YEAR]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Auto-Inclusion Scheme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[Participating — mandatory / Participating — voluntary / Not participating]</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employees to report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Submission deadline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 March </w:t>
            </w:r>
            <w:r>
              <w:rPr>
                <w:rFonts w:ascii="Calibri" w:cs="Calibri" w:eastAsia="Calibri" w:hAnsi="Calibri"/>
                <w:b/>
                <w:bCs/>
                <w:sz w:val="19"/>
                <w:szCs w:val="19"/>
              </w:rPr>
              <w:t xml:space="preserve">[YEAR]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Submission channel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[Payroll software / API / Online application / Offline application]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Prepared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Submitted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  Acknowledgement: </w:t>
            </w:r>
            <w:r>
              <w:rPr>
                <w:rFonts w:ascii="Calibri" w:cs="Calibri" w:eastAsia="Calibri" w:hAnsi="Calibri"/>
                <w:b/>
                <w:bCs/>
                <w:sz w:val="19"/>
                <w:szCs w:val="19"/>
              </w:rPr>
              <w:t xml:space="preserve">[REFERENCE]</w:t>
            </w:r>
          </w:p>
        </w:tc>
      </w:tr>
    </w:tbl>
    <w:p>
      <w:pPr>
        <w:spacing w:after="180"/>
      </w:pPr>
    </w:p>
    <w:p>
      <w:pPr>
        <w:keepNext/>
        <w:spacing w:after="120" w:before="280"/>
        <w:outlineLvl w:val="0"/>
      </w:pPr>
      <w:r>
        <w:rPr>
          <w:rFonts w:ascii="Calibri" w:cs="Calibri" w:eastAsia="Calibri" w:hAnsi="Calibri"/>
          <w:b/>
          <w:bCs/>
          <w:color w:val="14161B"/>
          <w:sz w:val="22"/>
          <w:szCs w:val="22"/>
        </w:rPr>
        <w:t xml:space="preserve">1. WHO MUST BE REPORTED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1349"/>
        <w:gridCol w:w="4820"/>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Category</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Report?</w:t>
            </w:r>
          </w:p>
        </w:tc>
        <w:tc>
          <w:tcPr>
            <w:tcW w:type="dxa" w:w="48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Full-time resident employees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820"/>
            <w:tcMar>
              <w:top w:type="dxa" w:w="70"/>
              <w:left w:type="dxa" w:w="100"/>
              <w:bottom w:type="dxa" w:w="70"/>
              <w:right w:type="dxa" w:w="100"/>
            </w:tcMar>
            <w:vAlign w:val="center"/>
          </w:tcPr>
          <w:p>
            <w:pPr>
              <w:spacing w:after="0" w:line="240"/>
              <w:jc w:val="left"/>
            </w:pP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Part-time resident employees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Regardless of hours or duration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Non-resident employees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Different tax treatment; report the income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 directors, including non-executive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Director’s fees are reportable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Employees who left during the year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 income for the period employed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Employees who joined during the year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 from the joining 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Pensioners receiving a pension from the employer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820"/>
            <w:tcMar>
              <w:top w:type="dxa" w:w="70"/>
              <w:left w:type="dxa" w:w="100"/>
              <w:bottom w:type="dxa" w:w="70"/>
              <w:right w:type="dxa" w:w="100"/>
            </w:tcMar>
            <w:vAlign w:val="center"/>
          </w:tcPr>
          <w:p>
            <w:pPr>
              <w:spacing w:after="0" w:line="240"/>
              <w:jc w:val="left"/>
            </w:pP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Employees on overseas posting</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[Depends]</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Take advice where duties were performed abroad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Employees for whom tax clearance was already filed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Avoid double reporting — see the notes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Genuine independent contractors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employment income — but check the classification is genuine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Report every employee who received employment income during the year, even if they earned very little, worked briefly, or have since left. Omission is the most common defect, and it is detected because the employee’s return does not reconcile.</w:t>
      </w:r>
    </w:p>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2. INCOME TO REPORT</w:t>
      </w:r>
    </w:p>
    <w:p>
      <w:pPr>
        <w:spacing w:after="260"/>
        <w:jc w:val="center"/>
      </w:pPr>
      <w:r>
        <w:rPr>
          <w:rFonts w:ascii="Calibri" w:cs="Calibri" w:eastAsia="Calibri" w:hAnsi="Calibri"/>
          <w:i/>
          <w:iCs/>
          <w:color w:val="6E7480"/>
          <w:sz w:val="19"/>
          <w:szCs w:val="19"/>
        </w:rPr>
        <w:t xml:space="preserve">Work through every row — omission of benefits is the second most common defect</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3909"/>
        <w:gridCol w:w="1353"/>
        <w:gridCol w:w="1954"/>
        <w:gridCol w:w="7221"/>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w:t>
            </w:r>
          </w:p>
        </w:tc>
        <w:tc>
          <w:tcPr>
            <w:tcW w:type="dxa" w:w="39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Category</w:t>
            </w:r>
          </w:p>
        </w:tc>
        <w:tc>
          <w:tcPr>
            <w:tcW w:type="dxa" w:w="135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Include</w:t>
            </w:r>
          </w:p>
        </w:tc>
        <w:tc>
          <w:tcPr>
            <w:tcW w:type="dxa" w:w="195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 (S$)</w:t>
            </w:r>
          </w:p>
        </w:tc>
        <w:tc>
          <w:tcPr>
            <w:tcW w:type="dxa" w:w="722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Notes</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1</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Gross salary, fees, leave pay, wages</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Yes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For the period employed in the year</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2</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Bonus</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Yes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State the date declared or paid — timing affects the year reported</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3</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Director’s fees</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Yes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Reportable in the year approved at the general meeting</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4</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Allowances — transport, meal, entertainment, housing</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Yes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Itemise; fixed allowances are income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5</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Overtime pay</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Yes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6</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Commission</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Yes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7</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Gratuity, ex gratia and retirement payments</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Yes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Taxability varies — report and let the assessment determine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8</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Payment in lieu of notice</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Yes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9</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Compensation for loss of office</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Yes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Report separately; treatment depends on the nature of the payment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10</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Gains from share options and share awards</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Yes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Separate reporting applies — see the notes</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11</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Value of accommodation provided</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Yes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Valued on the prescribed basis, not on cost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12</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Car and driver benefit</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Yes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Prescribed valuation formula</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13</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Other benefits in kind — club, insurance, interest-free loan, home leave</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Yes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Each has its own valuation basis</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14</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Tax borne by the employer</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Yes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 taxable benefit in itself — frequently missed</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15</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Contributions to an overseas pension or provident fund</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[Depends]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Take advice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16</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Employee Central Provident Fund contributions — compulsory</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Report</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Deductible to the employee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17</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Excess or voluntary Central Provident Fund contributions</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Yes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Contributions above the statutory limit are taxable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18</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Donations deducted through payroll</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Report</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For the employee’s deduction</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19</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Reimbursement of actual business expenses</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No</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sz w:val="16"/>
                <w:szCs w:val="16"/>
              </w:rPr>
              <w:t xml:space="preserve">—</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 income where genuinely reimbursement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20</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Retrenchment benefit for loss of employment</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[Depends]</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Report; taxability determined on assessment</w:t>
            </w:r>
          </w:p>
        </w:tc>
      </w:tr>
      <w:tr>
        <w:tc>
          <w:tcPr>
            <w:tcW w:type="dxa" w:w="601"/>
            <w:tcMar>
              <w:top w:type="dxa" w:w="70"/>
              <w:left w:type="dxa" w:w="100"/>
              <w:bottom w:type="dxa" w:w="70"/>
              <w:right w:type="dxa" w:w="100"/>
            </w:tcMar>
            <w:vAlign w:val="center"/>
          </w:tcPr>
          <w:p>
            <w:pPr>
              <w:spacing w:after="0" w:line="240"/>
              <w:jc w:val="center"/>
            </w:pP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Total employment income reported</w:t>
            </w:r>
          </w:p>
        </w:tc>
        <w:tc>
          <w:tcPr>
            <w:tcW w:type="dxa" w:w="1353"/>
            <w:tcMar>
              <w:top w:type="dxa" w:w="70"/>
              <w:left w:type="dxa" w:w="100"/>
              <w:bottom w:type="dxa" w:w="70"/>
              <w:right w:type="dxa" w:w="100"/>
            </w:tcMar>
            <w:vAlign w:val="center"/>
          </w:tcPr>
          <w:p>
            <w:pPr>
              <w:spacing w:after="0" w:line="240"/>
              <w:jc w:val="center"/>
            </w:pP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7221"/>
            <w:tcMar>
              <w:top w:type="dxa" w:w="70"/>
              <w:left w:type="dxa" w:w="100"/>
              <w:bottom w:type="dxa" w:w="70"/>
              <w:right w:type="dxa" w:w="100"/>
            </w:tcMar>
            <w:vAlign w:val="center"/>
          </w:tcPr>
          <w:p>
            <w:pPr>
              <w:spacing w:after="0" w:line="240"/>
              <w:jc w:val="left"/>
            </w:pP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3. RELATED FORMS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734"/>
        <w:gridCol w:w="3276"/>
        <w:gridCol w:w="4628"/>
      </w:tblGrid>
      <w:tr>
        <w:trPr>
          <w:tblHeader/>
        </w:trPr>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Form</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 required</w:t>
            </w:r>
          </w:p>
        </w:tc>
        <w:tc>
          <w:tcPr>
            <w:tcW w:type="dxa" w:w="462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Appendix 8A</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benefits in kind were provided</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Accommodation, car, and other benefits, each on its prescribed valuation basis</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Appendix 8B</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gains from share options or share awards arose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Including deemed exercise gains for departing foreign employees</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Form IR8S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excess Central Provident Fund contributions were made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Contributions above the statutory limit, and any refund claimed</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Form IR21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cessation for a non-citizen employee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Filed separately at least a month before cessation or departure — not through the annual submission</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[Others as prescribed]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bl>
    <w:p>
      <w:pPr>
        <w:spacing w:after="160"/>
      </w:pPr>
    </w:p>
    <w:p>
      <w:pPr>
        <w:keepNext/>
        <w:spacing w:after="120" w:before="280"/>
        <w:outlineLvl w:val="0"/>
      </w:pPr>
      <w:r>
        <w:rPr>
          <w:rFonts w:ascii="Calibri" w:cs="Calibri" w:eastAsia="Calibri" w:hAnsi="Calibri"/>
          <w:b/>
          <w:bCs/>
          <w:color w:val="14161B"/>
          <w:sz w:val="22"/>
          <w:szCs w:val="22"/>
        </w:rPr>
        <w:t xml:space="preserve">4. ANNUAL CYCLE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529"/>
        <w:gridCol w:w="1734"/>
        <w:gridCol w:w="1349"/>
        <w:gridCol w:w="1545"/>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5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When</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c>
          <w:tcPr>
            <w:tcW w:type="dxa" w:w="15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participation status in the Auto-Inclusion Scheme for the year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December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submission channel and that software is on the current version</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December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Compile the employee list — including joiners, leavers and directors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January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Reconcile total payroll cost to the general ledger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January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Value benefits in kind on the prescribed bases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January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Compute share option and award gains; prepare Appendix 8B</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January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Identify excess Central Provident Fund contributions; prepare Form IR8S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January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that employees with tax clearance already filed are handled correctly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January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by a second person against source records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February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Submit by 1 March</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By 1 March</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 the acknowledgement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submission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Give employees a statement of what was reported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By 1 March</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amendments promptly where an error is found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discovery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 records for the statutory period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5. RECONCILIATION CONTROLS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879"/>
        <w:gridCol w:w="1638"/>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87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Control</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Result</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 count on the submission agrees to the payroll headcount for the year including leavers</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r>
              <w:rPr>
                <w:rFonts w:ascii="Calibri" w:cs="Calibri" w:eastAsia="Calibri" w:hAnsi="Calibri"/>
                <w:sz w:val="17"/>
                <w:szCs w:val="17"/>
              </w:rPr>
              <w:t xml:space="preserve"> / </w:t>
            </w:r>
            <w:r>
              <w:rPr>
                <w:rFonts w:ascii="Calibri" w:cs="Calibri" w:eastAsia="Calibri" w:hAnsi="Calibri"/>
                <w:b/>
                <w:bCs/>
                <w:sz w:val="17"/>
                <w:szCs w:val="17"/>
              </w:rPr>
              <w:t xml:space="preserve">[NUMBER]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Total income reported agrees to payroll cost per the general ledger, with reconciling items explained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 </w:t>
            </w:r>
            <w:r>
              <w:rPr>
                <w:rFonts w:ascii="Calibri" w:cs="Calibri" w:eastAsia="Calibri" w:hAnsi="Calibri"/>
                <w:b/>
                <w:bCs/>
                <w:sz w:val="17"/>
                <w:szCs w:val="17"/>
              </w:rPr>
              <w:t xml:space="preserve">[AMOUNT]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Central Provident Fund reported agrees to contributions actually paid for the year</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 </w:t>
            </w:r>
            <w:r>
              <w:rPr>
                <w:rFonts w:ascii="Calibri" w:cs="Calibri" w:eastAsia="Calibri" w:hAnsi="Calibri"/>
                <w:b/>
                <w:bCs/>
                <w:sz w:val="17"/>
                <w:szCs w:val="17"/>
              </w:rPr>
              <w:t xml:space="preserve">[AMOUNT]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Central Provident Fund reported for any work pass holder</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Every benefit in kind provided during the year appears on Appendix 8A</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Every equity event during the year appears on Appendix 8B</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Employer-borne tax, where any, is included as income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Leavers with tax clearance filed are not double reported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Directors’ fees included in the correct year of assessment</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Bonus reported in the correct year by reference to when it was declared or paid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Auto-Inclusion means the employer files the employee’s income for them</w:t>
      </w:r>
    </w:p>
    <w:p>
      <w:pPr>
        <w:spacing w:after="60" w:line="264"/>
        <w:jc w:val="both"/>
      </w:pPr>
      <w:r>
        <w:rPr>
          <w:rFonts w:ascii="Calibri" w:cs="Calibri" w:eastAsia="Calibri" w:hAnsi="Calibri"/>
          <w:sz w:val="19"/>
          <w:szCs w:val="19"/>
        </w:rPr>
        <w:t xml:space="preserve">Where the employer participates, the reported income flows directly into the employee’s tax return. An error is therefore not a private discrepancy — it produces a wrong return filed in the employee’s name, which the employee then has to correct. That is why control 9 requires a second-person review before submission rather than after a query.</w:t>
      </w:r>
    </w:p>
    <w:p>
      <w:pPr>
        <w:keepNext/>
        <w:spacing w:after="40" w:before="140"/>
      </w:pPr>
      <w:r>
        <w:rPr>
          <w:rFonts w:ascii="Calibri" w:cs="Calibri" w:eastAsia="Calibri" w:hAnsi="Calibri"/>
          <w:b/>
          <w:bCs/>
          <w:color w:val="14161B"/>
          <w:sz w:val="20"/>
          <w:szCs w:val="20"/>
        </w:rPr>
        <w:t xml:space="preserve">1 March, and it does not move</w:t>
      </w:r>
    </w:p>
    <w:p>
      <w:pPr>
        <w:spacing w:after="60" w:line="264"/>
        <w:jc w:val="both"/>
      </w:pPr>
      <w:r>
        <w:rPr>
          <w:rFonts w:ascii="Calibri" w:cs="Calibri" w:eastAsia="Calibri" w:hAnsi="Calibri"/>
          <w:sz w:val="19"/>
          <w:szCs w:val="19"/>
        </w:rPr>
        <w:t xml:space="preserve">The submission deadline is 1 March following the year of income. Late submission attracts penalties and, for employees, delays or wrong assessments. Start in January — the benefit valuations and equity computations are what take the time, not the salary figures.</w:t>
      </w:r>
    </w:p>
    <w:p>
      <w:pPr>
        <w:keepNext/>
        <w:spacing w:after="40" w:before="140"/>
      </w:pPr>
      <w:r>
        <w:rPr>
          <w:rFonts w:ascii="Calibri" w:cs="Calibri" w:eastAsia="Calibri" w:hAnsi="Calibri"/>
          <w:b/>
          <w:bCs/>
          <w:color w:val="14161B"/>
          <w:sz w:val="20"/>
          <w:szCs w:val="20"/>
        </w:rPr>
        <w:t xml:space="preserve">Participation may be mandatory</w:t>
      </w:r>
    </w:p>
    <w:p>
      <w:pPr>
        <w:spacing w:after="60" w:line="264"/>
        <w:jc w:val="both"/>
      </w:pPr>
      <w:r>
        <w:rPr>
          <w:rFonts w:ascii="Calibri" w:cs="Calibri" w:eastAsia="Calibri" w:hAnsi="Calibri"/>
          <w:sz w:val="19"/>
          <w:szCs w:val="19"/>
        </w:rPr>
        <w:t xml:space="preserve">The Auto-Inclusion Scheme is compulsory for employers above an employee-count threshold, and voluntary below it. The threshold has been lowered over time, so an employer outside the scheme in a prior year may be inside it now. Confirm the position each December rather than assuming continuity.</w:t>
      </w:r>
    </w:p>
    <w:p>
      <w:pPr>
        <w:keepNext/>
        <w:spacing w:after="40" w:before="140"/>
      </w:pPr>
      <w:r>
        <w:rPr>
          <w:rFonts w:ascii="Calibri" w:cs="Calibri" w:eastAsia="Calibri" w:hAnsi="Calibri"/>
          <w:b/>
          <w:bCs/>
          <w:color w:val="14161B"/>
          <w:sz w:val="20"/>
          <w:szCs w:val="20"/>
        </w:rPr>
        <w:t xml:space="preserve">Benefits in kind are where most errors sit</w:t>
      </w:r>
    </w:p>
    <w:p>
      <w:pPr>
        <w:spacing w:after="60" w:line="264"/>
        <w:jc w:val="both"/>
      </w:pPr>
      <w:r>
        <w:rPr>
          <w:rFonts w:ascii="Calibri" w:cs="Calibri" w:eastAsia="Calibri" w:hAnsi="Calibri"/>
          <w:sz w:val="19"/>
          <w:szCs w:val="19"/>
        </w:rPr>
        <w:t xml:space="preserve">Accommodation, cars, drivers, club memberships, insurance premiums, interest-free or subsidised loans and home leave are all reportable, and each has a prescribed valuation basis that is generally not the same as the cost to the employer. Valuing accommodation at rent paid, or a car at its running cost, produces the wrong figure. Work through row 11 to 13 deliberately.</w:t>
      </w:r>
    </w:p>
    <w:p>
      <w:pPr>
        <w:keepNext/>
        <w:spacing w:after="40" w:before="140"/>
      </w:pPr>
      <w:r>
        <w:rPr>
          <w:rFonts w:ascii="Calibri" w:cs="Calibri" w:eastAsia="Calibri" w:hAnsi="Calibri"/>
          <w:b/>
          <w:bCs/>
          <w:color w:val="14161B"/>
          <w:sz w:val="20"/>
          <w:szCs w:val="20"/>
        </w:rPr>
        <w:t xml:space="preserve">Employer-borne tax is itself income</w:t>
      </w:r>
    </w:p>
    <w:p>
      <w:pPr>
        <w:spacing w:after="60" w:line="264"/>
        <w:jc w:val="both"/>
      </w:pPr>
      <w:r>
        <w:rPr>
          <w:rFonts w:ascii="Calibri" w:cs="Calibri" w:eastAsia="Calibri" w:hAnsi="Calibri"/>
          <w:sz w:val="19"/>
          <w:szCs w:val="19"/>
        </w:rPr>
        <w:t xml:space="preserve">Where the Company agrees to bear an employee’s tax, that benefit is taxable and must be reported, which increases the liability and requires a gross-up. It is one of the most frequently omitted items, particularly in expatriate packages, and the omission compounds year on year.</w:t>
      </w:r>
    </w:p>
    <w:p>
      <w:pPr>
        <w:keepNext/>
        <w:spacing w:after="40" w:before="140"/>
      </w:pPr>
      <w:r>
        <w:rPr>
          <w:rFonts w:ascii="Calibri" w:cs="Calibri" w:eastAsia="Calibri" w:hAnsi="Calibri"/>
          <w:b/>
          <w:bCs/>
          <w:color w:val="14161B"/>
          <w:sz w:val="20"/>
          <w:szCs w:val="20"/>
        </w:rPr>
        <w:t xml:space="preserve">Equity gains need their own appendix</w:t>
      </w:r>
    </w:p>
    <w:p>
      <w:pPr>
        <w:spacing w:after="60" w:line="264"/>
        <w:jc w:val="both"/>
      </w:pPr>
      <w:r>
        <w:rPr>
          <w:rFonts w:ascii="Calibri" w:cs="Calibri" w:eastAsia="Calibri" w:hAnsi="Calibri"/>
          <w:sz w:val="19"/>
          <w:szCs w:val="19"/>
        </w:rPr>
        <w:t xml:space="preserve">Gains from share options and share awards are reported separately, including deemed exercise gains where a foreign employee ceased employment or left Singapore holding unexercised or unvested equity. Employers with a share scheme should build this into the January cycle rather than treating it as an exception.</w:t>
      </w:r>
    </w:p>
    <w:p>
      <w:pPr>
        <w:keepNext/>
        <w:spacing w:after="40" w:before="140"/>
      </w:pPr>
      <w:r>
        <w:rPr>
          <w:rFonts w:ascii="Calibri" w:cs="Calibri" w:eastAsia="Calibri" w:hAnsi="Calibri"/>
          <w:b/>
          <w:bCs/>
          <w:color w:val="14161B"/>
          <w:sz w:val="20"/>
          <w:szCs w:val="20"/>
        </w:rPr>
        <w:t xml:space="preserve">Do not double report a cleared leaver</w:t>
      </w:r>
    </w:p>
    <w:p>
      <w:pPr>
        <w:spacing w:after="60" w:line="264"/>
        <w:jc w:val="both"/>
      </w:pPr>
      <w:r>
        <w:rPr>
          <w:rFonts w:ascii="Calibri" w:cs="Calibri" w:eastAsia="Calibri" w:hAnsi="Calibri"/>
          <w:sz w:val="19"/>
          <w:szCs w:val="19"/>
        </w:rPr>
        <w:t xml:space="preserve">Where tax clearance was filed for a departing non-citizen, their income for that period has already been reported through that route. Including them again in the annual submission produces a duplicate. Control 8 exists for this, and the error is common in years with several foreign departures.</w:t>
      </w:r>
    </w:p>
    <w:p>
      <w:pPr>
        <w:keepNext/>
        <w:spacing w:after="40" w:before="140"/>
      </w:pPr>
      <w:r>
        <w:rPr>
          <w:rFonts w:ascii="Calibri" w:cs="Calibri" w:eastAsia="Calibri" w:hAnsi="Calibri"/>
          <w:b/>
          <w:bCs/>
          <w:color w:val="14161B"/>
          <w:sz w:val="20"/>
          <w:szCs w:val="20"/>
        </w:rPr>
        <w:t xml:space="preserve">Report everyone, however small the amount</w:t>
      </w:r>
    </w:p>
    <w:p>
      <w:pPr>
        <w:spacing w:after="60" w:line="264"/>
        <w:jc w:val="both"/>
      </w:pPr>
      <w:r>
        <w:rPr>
          <w:rFonts w:ascii="Calibri" w:cs="Calibri" w:eastAsia="Calibri" w:hAnsi="Calibri"/>
          <w:sz w:val="19"/>
          <w:szCs w:val="19"/>
        </w:rPr>
        <w:t xml:space="preserve">Part-time staff, employees who worked for a few weeks, interns treated as employees, and non-executive directors receiving fees are all reportable. Omission is the most frequent defect because these people sit outside the main payroll run in many organisations.</w:t>
      </w:r>
    </w:p>
    <w:p>
      <w:pPr>
        <w:keepNext/>
        <w:spacing w:after="40" w:before="140"/>
      </w:pPr>
      <w:r>
        <w:rPr>
          <w:rFonts w:ascii="Calibri" w:cs="Calibri" w:eastAsia="Calibri" w:hAnsi="Calibri"/>
          <w:b/>
          <w:bCs/>
          <w:color w:val="14161B"/>
          <w:sz w:val="20"/>
          <w:szCs w:val="20"/>
        </w:rPr>
        <w:t xml:space="preserve">Directors’ fees follow approval, not payment</w:t>
      </w:r>
    </w:p>
    <w:p>
      <w:pPr>
        <w:spacing w:after="60" w:line="264"/>
        <w:jc w:val="both"/>
      </w:pPr>
      <w:r>
        <w:rPr>
          <w:rFonts w:ascii="Calibri" w:cs="Calibri" w:eastAsia="Calibri" w:hAnsi="Calibri"/>
          <w:sz w:val="19"/>
          <w:szCs w:val="19"/>
        </w:rPr>
        <w:t xml:space="preserve">Fees are generally reportable by reference to the year in which they were approved at the general meeting, which may differ from the year of payment. Where fees are approved retrospectively for a prior period, the year of assessment is not intuitive — check it rather than defaulting to the payment date.</w:t>
      </w:r>
    </w:p>
    <w:p>
      <w:pPr>
        <w:keepNext/>
        <w:spacing w:after="40" w:before="140"/>
      </w:pPr>
      <w:r>
        <w:rPr>
          <w:rFonts w:ascii="Calibri" w:cs="Calibri" w:eastAsia="Calibri" w:hAnsi="Calibri"/>
          <w:b/>
          <w:bCs/>
          <w:color w:val="14161B"/>
          <w:sz w:val="20"/>
          <w:szCs w:val="20"/>
        </w:rPr>
        <w:t xml:space="preserve">Excess contributions are taxable</w:t>
      </w:r>
    </w:p>
    <w:p>
      <w:pPr>
        <w:spacing w:after="60" w:line="264"/>
        <w:jc w:val="both"/>
      </w:pPr>
      <w:r>
        <w:rPr>
          <w:rFonts w:ascii="Calibri" w:cs="Calibri" w:eastAsia="Calibri" w:hAnsi="Calibri"/>
          <w:sz w:val="19"/>
          <w:szCs w:val="19"/>
        </w:rPr>
        <w:t xml:space="preserve">Central Provident Fund contributions made above the statutory limit are taxable to the employee and reported on the separate form, with any refund claimed. Employers who make voluntary contributions, or who misapply the wage ceilings, generate this without realising.</w:t>
      </w:r>
    </w:p>
    <w:p>
      <w:pPr>
        <w:keepNext/>
        <w:spacing w:after="40" w:before="140"/>
      </w:pPr>
      <w:r>
        <w:rPr>
          <w:rFonts w:ascii="Calibri" w:cs="Calibri" w:eastAsia="Calibri" w:hAnsi="Calibri"/>
          <w:b/>
          <w:bCs/>
          <w:color w:val="14161B"/>
          <w:sz w:val="20"/>
          <w:szCs w:val="20"/>
        </w:rPr>
        <w:t xml:space="preserve">No contributions for pass holders — check the submission too</w:t>
      </w:r>
    </w:p>
    <w:p>
      <w:pPr>
        <w:spacing w:after="60" w:line="264"/>
        <w:jc w:val="both"/>
      </w:pPr>
      <w:r>
        <w:rPr>
          <w:rFonts w:ascii="Calibri" w:cs="Calibri" w:eastAsia="Calibri" w:hAnsi="Calibri"/>
          <w:sz w:val="19"/>
          <w:szCs w:val="19"/>
        </w:rPr>
        <w:t xml:space="preserve">Contributions are not payable for Employment Pass, S Pass or Work Permit holders. Control 4 checks the annual submission for the same error the monthly payroll control looks for, because a misconfigured status field produces a full year of wrong data before anyone notices.</w:t>
      </w:r>
    </w:p>
    <w:p>
      <w:pPr>
        <w:keepNext/>
        <w:spacing w:after="40" w:before="140"/>
      </w:pPr>
      <w:r>
        <w:rPr>
          <w:rFonts w:ascii="Calibri" w:cs="Calibri" w:eastAsia="Calibri" w:hAnsi="Calibri"/>
          <w:b/>
          <w:bCs/>
          <w:color w:val="14161B"/>
          <w:sz w:val="20"/>
          <w:szCs w:val="20"/>
        </w:rPr>
        <w:t xml:space="preserve">Reconcile to the ledger before submitting</w:t>
      </w:r>
    </w:p>
    <w:p>
      <w:pPr>
        <w:spacing w:after="60" w:line="264"/>
        <w:jc w:val="both"/>
      </w:pPr>
      <w:r>
        <w:rPr>
          <w:rFonts w:ascii="Calibri" w:cs="Calibri" w:eastAsia="Calibri" w:hAnsi="Calibri"/>
          <w:sz w:val="19"/>
          <w:szCs w:val="19"/>
        </w:rPr>
        <w:t xml:space="preserve">Agreeing total reported income to payroll cost in the general ledger, with reconciling items explained, catches omitted employees, omitted benefits and duplicated entries in one exercise. It is the single most effective control in the cycle.</w:t>
      </w:r>
    </w:p>
    <w:p>
      <w:pPr>
        <w:keepNext/>
        <w:spacing w:after="40" w:before="140"/>
      </w:pPr>
      <w:r>
        <w:rPr>
          <w:rFonts w:ascii="Calibri" w:cs="Calibri" w:eastAsia="Calibri" w:hAnsi="Calibri"/>
          <w:b/>
          <w:bCs/>
          <w:color w:val="14161B"/>
          <w:sz w:val="20"/>
          <w:szCs w:val="20"/>
        </w:rPr>
        <w:t xml:space="preserve">Tell employees what was reported</w:t>
      </w:r>
    </w:p>
    <w:p>
      <w:pPr>
        <w:spacing w:after="60" w:line="264"/>
        <w:jc w:val="both"/>
      </w:pPr>
      <w:r>
        <w:rPr>
          <w:rFonts w:ascii="Calibri" w:cs="Calibri" w:eastAsia="Calibri" w:hAnsi="Calibri"/>
          <w:sz w:val="19"/>
          <w:szCs w:val="19"/>
        </w:rPr>
        <w:t xml:space="preserve">Even where auto-inclusion means employees do not need the form, giving them a statement lets them check it before assessment rather than dispute it afterwards. It also surfaces benefit valuations they may want to query, which is far cheaper to resolve in February than in an amended assessment.</w:t>
      </w:r>
    </w:p>
    <w:p>
      <w:pPr>
        <w:keepNext/>
        <w:spacing w:after="40" w:before="140"/>
      </w:pPr>
      <w:r>
        <w:rPr>
          <w:rFonts w:ascii="Calibri" w:cs="Calibri" w:eastAsia="Calibri" w:hAnsi="Calibri"/>
          <w:b/>
          <w:bCs/>
          <w:color w:val="14161B"/>
          <w:sz w:val="20"/>
          <w:szCs w:val="20"/>
        </w:rPr>
        <w:t xml:space="preserve">Amend promptly when you find an error</w:t>
      </w:r>
    </w:p>
    <w:p>
      <w:pPr>
        <w:spacing w:after="60" w:line="264"/>
        <w:jc w:val="both"/>
      </w:pPr>
      <w:r>
        <w:rPr>
          <w:rFonts w:ascii="Calibri" w:cs="Calibri" w:eastAsia="Calibri" w:hAnsi="Calibri"/>
          <w:sz w:val="19"/>
          <w:szCs w:val="19"/>
        </w:rPr>
        <w:t xml:space="preserve">Errors discovered after submission should be corrected through an amendment rather than left to be picked up on assessment. A voluntary correction is a materially better position than a discovered one.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tax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Auto-Inclusion Scheme threshold, reportable income categories, benefit valuation bases, appendix requirements and submission channels all change — confirm the current position with the Inland Revenue Authority of Singapore before each annual cycle, and take advice where the workforce includes expatriates, equity holders or overseas postings.</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2026-08-22T06:55:29.702Z</dcterms:created>
  <dcterms:modified xsi:type="dcterms:W3CDTF">2026-08-22T06:55:29.702Z</dcterms:modified>
</cp:coreProperties>
</file>

<file path=docProps/custom.xml><?xml version="1.0" encoding="utf-8"?>
<Properties xmlns="http://schemas.openxmlformats.org/officeDocument/2006/custom-properties" xmlns:vt="http://schemas.openxmlformats.org/officeDocument/2006/docPropsVTypes"/>
</file>