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TAX CLEARANCE FOR A DEPARTING FOREIGN EMPLOYEE</w:t>
      </w:r>
    </w:p>
    <w:p>
      <w:pPr>
        <w:spacing w:after="260"/>
        <w:jc w:val="center"/>
      </w:pPr>
      <w:r>
        <w:rPr>
          <w:rFonts w:ascii="Calibri" w:cs="Calibri" w:eastAsia="Calibri" w:hAnsi="Calibri"/>
          <w:i/>
          <w:iCs/>
          <w:color w:val="6E7480"/>
          <w:sz w:val="19"/>
          <w:szCs w:val="19"/>
        </w:rPr>
        <w:t xml:space="preserve">Form IR21 process and withholding</w:t>
      </w:r>
    </w:p>
    <w:p>
      <w:pPr>
        <w:spacing w:after="180" w:before="0" w:line="276"/>
        <w:jc w:val="both"/>
      </w:pPr>
      <w:r>
        <w:rPr>
          <w:rFonts w:ascii="Calibri" w:cs="Calibri" w:eastAsia="Calibri" w:hAnsi="Calibri"/>
          <w:i/>
          <w:iCs/>
          <w:color w:val="6E7480"/>
          <w:sz w:val="21"/>
          <w:szCs w:val="21"/>
        </w:rPr>
        <w:t xml:space="preserve">Tax clearance is the obligation employers most often discover too late. Where a foreign employee ceases employment or leaves Singapore, the employer must notify the Inland Revenue Authority and </w:t>
      </w:r>
      <w:r>
        <w:rPr>
          <w:rFonts w:ascii="Calibri" w:cs="Calibri" w:eastAsia="Calibri" w:hAnsi="Calibri"/>
          <w:b/>
          <w:bCs/>
          <w:i/>
          <w:iCs/>
          <w:color w:val="6E7480"/>
          <w:sz w:val="21"/>
          <w:szCs w:val="21"/>
        </w:rPr>
        <w:t xml:space="preserve">withhold all monies due to the employee</w:t>
      </w:r>
      <w:r>
        <w:rPr>
          <w:rFonts w:ascii="Calibri" w:cs="Calibri" w:eastAsia="Calibri" w:hAnsi="Calibri"/>
          <w:i/>
          <w:iCs/>
          <w:color w:val="6E7480"/>
          <w:sz w:val="21"/>
          <w:szCs w:val="21"/>
        </w:rPr>
        <w:t xml:space="preserve"> until clearance is given. Paying the final salary in the ordinary way, and only then filing, leaves the employer liable for the tax.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 or NRIC</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Nationality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[COUNTRY]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 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[Employment Pass / S Pass / Work Permit / Permanent Resident leaving Singapore]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cessation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Termination / End of contract / Transfer out of Singapore / Posting overseas]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date of departure from Singapore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 IR21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at least one month before cessation or departure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 IR21 filed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clearance directive received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withheld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bl>
    <w:p>
      <w:pPr>
        <w:spacing w:after="180"/>
      </w:pPr>
    </w:p>
    <w:p>
      <w:pPr>
        <w:keepNext/>
        <w:spacing w:after="120" w:before="280"/>
        <w:outlineLvl w:val="0"/>
      </w:pPr>
      <w:r>
        <w:rPr>
          <w:rFonts w:ascii="Calibri" w:cs="Calibri" w:eastAsia="Calibri" w:hAnsi="Calibri"/>
          <w:b/>
          <w:bCs/>
          <w:color w:val="14161B"/>
          <w:sz w:val="22"/>
          <w:szCs w:val="22"/>
        </w:rPr>
        <w:t xml:space="preserve">1. WHEN CLEARANCE IS REQUIRED</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Tax clearance is required where a </w:t>
      </w:r>
      <w:r>
        <w:rPr>
          <w:rFonts w:ascii="Calibri" w:cs="Calibri" w:eastAsia="Calibri" w:hAnsi="Calibri"/>
          <w:b/>
          <w:bCs/>
          <w:sz w:val="21"/>
          <w:szCs w:val="21"/>
        </w:rPr>
        <w:t xml:space="preserve">non-Singapore citizen</w:t>
      </w:r>
      <w:r>
        <w:rPr>
          <w:rFonts w:ascii="Calibri" w:cs="Calibri" w:eastAsia="Calibri" w:hAnsi="Calibri"/>
          <w:sz w:val="21"/>
          <w:szCs w:val="21"/>
        </w:rPr>
        <w:t xml:space="preserve"> employee ceases employment with the Company, goes on an overseas posting, or leaves Singapore for more than three months.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It applies to Employment Pass, S Pass and Work Permit holders, and to </w:t>
      </w:r>
      <w:r>
        <w:rPr>
          <w:rFonts w:ascii="Calibri" w:cs="Calibri" w:eastAsia="Calibri" w:hAnsi="Calibri"/>
          <w:b/>
          <w:bCs/>
          <w:sz w:val="21"/>
          <w:szCs w:val="21"/>
        </w:rPr>
        <w:t xml:space="preserve">Singapore permanent residents who are leaving Singapore permanently</w:t>
      </w:r>
      <w:r>
        <w:rPr>
          <w:rFonts w:ascii="Calibri" w:cs="Calibri" w:eastAsia="Calibri" w:hAnsi="Calibri"/>
          <w:sz w:val="21"/>
          <w:szCs w:val="21"/>
        </w:rPr>
        <w:t xml:space="preserve"> or who intend to leave for a period.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Clearance is generally </w:t>
      </w:r>
      <w:r>
        <w:rPr>
          <w:rFonts w:ascii="Calibri" w:cs="Calibri" w:eastAsia="Calibri" w:hAnsi="Calibri"/>
          <w:b/>
          <w:bCs/>
          <w:sz w:val="21"/>
          <w:szCs w:val="21"/>
        </w:rPr>
        <w:t xml:space="preserve">not</w:t>
      </w:r>
      <w:r>
        <w:rPr>
          <w:rFonts w:ascii="Calibri" w:cs="Calibri" w:eastAsia="Calibri" w:hAnsi="Calibri"/>
          <w:sz w:val="21"/>
          <w:szCs w:val="21"/>
        </w:rPr>
        <w:t xml:space="preserve"> required for Singapore citizens, nor for a permanent resident who is remaining in Singapore, nor in certain other cases including where the employee’s income for the period falls below the prescribed threshold or where employment was for a short period. </w:t>
      </w:r>
      <w:r>
        <w:rPr>
          <w:rFonts w:ascii="Calibri" w:cs="Calibri" w:eastAsia="Calibri" w:hAnsi="Calibri"/>
          <w:i/>
          <w:iCs/>
          <w:sz w:val="21"/>
          <w:szCs w:val="21"/>
        </w:rPr>
        <w:t xml:space="preserve">Confirm the current exemptions rather than assuming — the safer course where there is doubt is to file.</w:t>
      </w:r>
    </w:p>
    <w:p>
      <w:pPr>
        <w:keepNext/>
        <w:spacing w:after="120" w:before="280"/>
        <w:outlineLvl w:val="0"/>
      </w:pPr>
      <w:r>
        <w:rPr>
          <w:rFonts w:ascii="Calibri" w:cs="Calibri" w:eastAsia="Calibri" w:hAnsi="Calibri"/>
          <w:b/>
          <w:bCs/>
          <w:color w:val="14161B"/>
          <w:sz w:val="22"/>
          <w:szCs w:val="22"/>
        </w:rPr>
        <w:t xml:space="preserve">2. THE TWO OBLIGATIONS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Notify.</w:t>
      </w:r>
      <w:r>
        <w:rPr>
          <w:rFonts w:ascii="Calibri" w:cs="Calibri" w:eastAsia="Calibri" w:hAnsi="Calibri"/>
          <w:sz w:val="21"/>
          <w:szCs w:val="21"/>
        </w:rPr>
        <w:t xml:space="preserve"> File Form IR21 at least </w:t>
      </w:r>
      <w:r>
        <w:rPr>
          <w:rFonts w:ascii="Calibri" w:cs="Calibri" w:eastAsia="Calibri" w:hAnsi="Calibri"/>
          <w:b/>
          <w:bCs/>
          <w:sz w:val="21"/>
          <w:szCs w:val="21"/>
        </w:rPr>
        <w:t xml:space="preserve">one month</w:t>
      </w:r>
      <w:r>
        <w:rPr>
          <w:rFonts w:ascii="Calibri" w:cs="Calibri" w:eastAsia="Calibri" w:hAnsi="Calibri"/>
          <w:sz w:val="21"/>
          <w:szCs w:val="21"/>
        </w:rPr>
        <w:t xml:space="preserve"> before the employee ceases employment or leaves Singapore, whichever is earlier.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Withhold.</w:t>
      </w:r>
      <w:r>
        <w:rPr>
          <w:rFonts w:ascii="Calibri" w:cs="Calibri" w:eastAsia="Calibri" w:hAnsi="Calibri"/>
          <w:sz w:val="21"/>
          <w:szCs w:val="21"/>
        </w:rPr>
        <w:t xml:space="preserve"> From the moment the Company becomes aware that the employee is ceasing employment or leaving, it must </w:t>
      </w:r>
      <w:r>
        <w:rPr>
          <w:rFonts w:ascii="Calibri" w:cs="Calibri" w:eastAsia="Calibri" w:hAnsi="Calibri"/>
          <w:b/>
          <w:bCs/>
          <w:sz w:val="21"/>
          <w:szCs w:val="21"/>
        </w:rPr>
        <w:t xml:space="preserve">withhold all monies due to the employee</w:t>
      </w:r>
      <w:r>
        <w:rPr>
          <w:rFonts w:ascii="Calibri" w:cs="Calibri" w:eastAsia="Calibri" w:hAnsi="Calibri"/>
          <w:sz w:val="21"/>
          <w:szCs w:val="21"/>
        </w:rPr>
        <w:t xml:space="preserve"> — salary, allowances, leave encashment, bonus, commission, gratuity, payments in lieu, reimbursements and any other sum — until the tax clearance directive is received.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Where the Company releases monies before clearance, it may be held liable for the employee’s unpaid tax up to the amount released.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On receiving the directive, the Company must remit the amount stated to the authority and release the balance to the employee.</w:t>
      </w:r>
    </w:p>
    <w:p>
      <w:pPr>
        <w:keepNext/>
        <w:spacing w:after="120" w:before="280"/>
        <w:outlineLvl w:val="0"/>
      </w:pPr>
      <w:r>
        <w:rPr>
          <w:rFonts w:ascii="Calibri" w:cs="Calibri" w:eastAsia="Calibri" w:hAnsi="Calibri"/>
          <w:b/>
          <w:bCs/>
          <w:color w:val="14161B"/>
          <w:sz w:val="22"/>
          <w:szCs w:val="22"/>
        </w:rPr>
        <w:t xml:space="preserve">3. WHAT TO WITHHOLD AND WHAT NOT TO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1542"/>
        <w:gridCol w:w="4241"/>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Withhold?</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Final month’s salary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in lieu of notice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Encashment of unused annual leave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Bonus, commission or incentive payable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amounts declared but not yet paid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Retrenchment or ex gratia payment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 and let the authority determine taxability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Gains from share options or share awards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Note the deemed exercise rule — see the notes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Expense reimbursements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 the authority will direct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 contributions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payable for pass holders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[Employee’s own funds held by the Company]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where the sum is not employment income</w:t>
            </w:r>
          </w:p>
        </w:tc>
      </w:tr>
    </w:tbl>
    <w:p>
      <w:pPr>
        <w:spacing w:after="160"/>
      </w:pPr>
    </w:p>
    <w:p>
      <w:pPr>
        <w:keepNext/>
        <w:spacing w:after="120" w:before="280"/>
        <w:outlineLvl w:val="0"/>
      </w:pPr>
      <w:r>
        <w:rPr>
          <w:rFonts w:ascii="Calibri" w:cs="Calibri" w:eastAsia="Calibri" w:hAnsi="Calibri"/>
          <w:b/>
          <w:bCs/>
          <w:color w:val="14161B"/>
          <w:sz w:val="22"/>
          <w:szCs w:val="22"/>
        </w:rPr>
        <w:t xml:space="preserve">4.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047"/>
        <w:gridCol w:w="2313"/>
        <w:gridCol w:w="1252"/>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Resignation or termination notified; employee identified as requiring clearance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notification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Withholding instruction issued to payroll</w:t>
            </w:r>
            <w:r>
              <w:rPr>
                <w:rFonts w:ascii="Calibri" w:cs="Calibri" w:eastAsia="Calibri" w:hAnsi="Calibri"/>
                <w:sz w:val="17"/>
                <w:szCs w:val="17"/>
              </w:rPr>
              <w:t xml:space="preserve"> — stop all payments to the employee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informed of the clearance process, the withholding, and the likely timeline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Income particulars compiled for the current year and any prior year not yet assessed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option or award gains computed, including any deemed exercise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Benefits in kind valued — housing, car, allowances, relocation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filing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Form IR21 filed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At least 1 month before cessation or departure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Copy of the filing given to the employee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filing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Directive received stating the amount to remit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Typically within weeks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Amount remitted to the authority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stated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Balance released to the employee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 after remittance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Statement given to the employee showing withheld, remitted and released amounts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release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pass cancelled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required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period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INCOME TO REPORT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2120"/>
        <w:gridCol w:w="366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and wages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the last day of employment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Bonus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Declared and payable, whether or not paid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fees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applicable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 — transport, meal, others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Itemise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in lieu of notice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encashment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Retrenchment or severance payment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Taxability depends on the nature of the payment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Gains from share options and share awards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deemed exercise gains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Benefits in kind — accommodation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Valued per the prescribed basis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Benefits in kind — car, driver, other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Relocation and home leave benefits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[Employer-borne tax, where applicable]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borne by the employer is itself a taxable benefit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3663"/>
            <w:tcMar>
              <w:top w:type="dxa" w:w="70"/>
              <w:left w:type="dxa" w:w="100"/>
              <w:bottom w:type="dxa" w:w="70"/>
              <w:right w:type="dxa" w:w="100"/>
            </w:tcMar>
            <w:vAlign w:val="center"/>
          </w:tcPr>
          <w:p>
            <w:pPr>
              <w:spacing w:after="0" w:line="240"/>
              <w:jc w:val="left"/>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Letter to the Departing Employee</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Tax clearance before your departure</w:t>
      </w:r>
    </w:p>
    <w:p>
      <w:pPr>
        <w:spacing w:after="140" w:before="0" w:line="276"/>
        <w:jc w:val="both"/>
      </w:pPr>
      <w:r>
        <w:rPr>
          <w:rFonts w:ascii="Calibri" w:cs="Calibri" w:eastAsia="Calibri" w:hAnsi="Calibri"/>
          <w:sz w:val="21"/>
          <w:szCs w:val="21"/>
        </w:rPr>
        <w:t xml:space="preserve">Your employment with the Company ends on </w:t>
      </w:r>
      <w:r>
        <w:rPr>
          <w:rFonts w:ascii="Calibri" w:cs="Calibri" w:eastAsia="Calibri" w:hAnsi="Calibri"/>
          <w:b/>
          <w:bCs/>
          <w:sz w:val="21"/>
          <w:szCs w:val="21"/>
        </w:rPr>
        <w:t xml:space="preserve">[DATE]</w:t>
      </w:r>
      <w:r>
        <w:rPr>
          <w:rFonts w:ascii="Calibri" w:cs="Calibri" w:eastAsia="Calibri" w:hAnsi="Calibri"/>
          <w:sz w:val="21"/>
          <w:szCs w:val="21"/>
        </w:rPr>
        <w:t xml:space="preserve">. Because you are not a Singapore citizen, the Company is required by law to complete a tax clearance process with the Inland Revenue Authority of Singapore before releasing your final payments. This letter explains what that means for you.</w:t>
      </w:r>
    </w:p>
    <w:p>
      <w:pPr>
        <w:spacing w:after="120" w:before="0" w:line="276"/>
        <w:jc w:val="both"/>
      </w:pPr>
      <w:r>
        <w:rPr>
          <w:rFonts w:ascii="Calibri" w:cs="Calibri" w:eastAsia="Calibri" w:hAnsi="Calibri"/>
          <w:b/>
          <w:bCs/>
          <w:sz w:val="21"/>
          <w:szCs w:val="21"/>
        </w:rPr>
        <w:t xml:space="preserve">What we must do.</w:t>
      </w:r>
      <w:r>
        <w:rPr>
          <w:rFonts w:ascii="Calibri" w:cs="Calibri" w:eastAsia="Calibri" w:hAnsi="Calibri"/>
          <w:sz w:val="21"/>
          <w:szCs w:val="21"/>
        </w:rPr>
        <w:t xml:space="preserve"> We must file Form IR21 with the authority at least one month before your last day or your departure, reporting your income for the current year and any earlier year not yet assessed. We must also </w:t>
      </w:r>
      <w:r>
        <w:rPr>
          <w:rFonts w:ascii="Calibri" w:cs="Calibri" w:eastAsia="Calibri" w:hAnsi="Calibri"/>
          <w:b/>
          <w:bCs/>
          <w:sz w:val="21"/>
          <w:szCs w:val="21"/>
        </w:rPr>
        <w:t xml:space="preserve">withhold all monies due to you</w:t>
      </w:r>
      <w:r>
        <w:rPr>
          <w:rFonts w:ascii="Calibri" w:cs="Calibri" w:eastAsia="Calibri" w:hAnsi="Calibri"/>
          <w:sz w:val="21"/>
          <w:szCs w:val="21"/>
        </w:rPr>
        <w:t xml:space="preserve"> until the authority tells us how much tax to remit.</w:t>
      </w:r>
    </w:p>
    <w:p>
      <w:pPr>
        <w:spacing w:after="120" w:before="0" w:line="276"/>
        <w:jc w:val="both"/>
      </w:pPr>
      <w:r>
        <w:rPr>
          <w:rFonts w:ascii="Calibri" w:cs="Calibri" w:eastAsia="Calibri" w:hAnsi="Calibri"/>
          <w:b/>
          <w:bCs/>
          <w:sz w:val="21"/>
          <w:szCs w:val="21"/>
        </w:rPr>
        <w:t xml:space="preserve">What is being withheld.</w:t>
      </w:r>
      <w:r>
        <w:rPr>
          <w:rFonts w:ascii="Calibri" w:cs="Calibri" w:eastAsia="Calibri" w:hAnsi="Calibri"/>
          <w:sz w:val="21"/>
          <w:szCs w:val="21"/>
        </w:rPr>
        <w:t xml:space="preserve"> The following sums are held pending clearance: </w:t>
      </w:r>
      <w:r>
        <w:rPr>
          <w:rFonts w:ascii="Calibri" w:cs="Calibri" w:eastAsia="Calibri" w:hAnsi="Calibri"/>
          <w:b/>
          <w:bCs/>
          <w:sz w:val="21"/>
          <w:szCs w:val="21"/>
        </w:rPr>
        <w:t xml:space="preserve">[ITEMISE — final salary, leave encashment, payment in lieu of notice, bonus, reimbursements]</w:t>
      </w:r>
      <w:r>
        <w:rPr>
          <w:rFonts w:ascii="Calibri" w:cs="Calibri" w:eastAsia="Calibri" w:hAnsi="Calibri"/>
          <w:sz w:val="21"/>
          <w:szCs w:val="21"/>
        </w:rPr>
        <w:t xml:space="preserve">, totalling approximately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happens next.</w:t>
      </w:r>
      <w:r>
        <w:rPr>
          <w:rFonts w:ascii="Calibri" w:cs="Calibri" w:eastAsia="Calibri" w:hAnsi="Calibri"/>
          <w:sz w:val="21"/>
          <w:szCs w:val="21"/>
        </w:rPr>
        <w:t xml:space="preserve"> The authority will assess your tax and issue a directive. We will remit the amount directed and release the balance to you promptly. This typically takes a few weeks from filing, though it can take longer where the position is complex.</w:t>
      </w:r>
    </w:p>
    <w:p>
      <w:pPr>
        <w:spacing w:after="100" w:before="0" w:line="276"/>
        <w:jc w:val="both"/>
      </w:pPr>
      <w:r>
        <w:rPr>
          <w:rFonts w:ascii="Calibri" w:cs="Calibri" w:eastAsia="Calibri" w:hAnsi="Calibri"/>
          <w:b/>
          <w:bCs/>
          <w:sz w:val="21"/>
          <w:szCs w:val="21"/>
        </w:rPr>
        <w:t xml:space="preserve">What you need to do.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give us your forwarding address, contact number and email, and the bank account to which the balance should be paid;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tell us of any other income you have received in Singapore, or any tax relief you wish to claim, so that this can be taken into account;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confirm whether you hold any unexercised share options or unvested share awards;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file your own tax return if the authority asks you to, and settle any balance directly.</w:t>
      </w:r>
    </w:p>
    <w:p>
      <w:pPr>
        <w:spacing w:after="120" w:before="120" w:line="276"/>
        <w:jc w:val="both"/>
      </w:pPr>
      <w:r>
        <w:rPr>
          <w:rFonts w:ascii="Calibri" w:cs="Calibri" w:eastAsia="Calibri" w:hAnsi="Calibri"/>
          <w:b/>
          <w:bCs/>
          <w:sz w:val="21"/>
          <w:szCs w:val="21"/>
        </w:rPr>
        <w:t xml:space="preserve">If the tax is more than we hold.</w:t>
      </w:r>
      <w:r>
        <w:rPr>
          <w:rFonts w:ascii="Calibri" w:cs="Calibri" w:eastAsia="Calibri" w:hAnsi="Calibri"/>
          <w:sz w:val="21"/>
          <w:szCs w:val="21"/>
        </w:rPr>
        <w:t xml:space="preserve"> The withheld amount may not cover the full liability. Any shortfall remains your responsibility and the authority will contact you directly. If the withheld amount exceeds the tax, the balance is released to you.</w:t>
      </w:r>
    </w:p>
    <w:p>
      <w:pPr>
        <w:spacing w:after="120" w:before="0" w:line="276"/>
        <w:jc w:val="both"/>
      </w:pPr>
      <w:r>
        <w:rPr>
          <w:rFonts w:ascii="Calibri" w:cs="Calibri" w:eastAsia="Calibri" w:hAnsi="Calibri"/>
          <w:b/>
          <w:bCs/>
          <w:sz w:val="21"/>
          <w:szCs w:val="21"/>
        </w:rPr>
        <w:t xml:space="preserve">Your work pass.</w:t>
      </w:r>
      <w:r>
        <w:rPr>
          <w:rFonts w:ascii="Calibri" w:cs="Calibri" w:eastAsia="Calibri" w:hAnsi="Calibri"/>
          <w:sz w:val="21"/>
          <w:szCs w:val="21"/>
        </w:rPr>
        <w:t xml:space="preserve"> Your pass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Please note the short grace period that applies after cancellation.</w:t>
      </w:r>
    </w:p>
    <w:p>
      <w:pPr>
        <w:spacing w:after="160" w:before="0" w:line="276"/>
        <w:jc w:val="both"/>
      </w:pPr>
      <w:r>
        <w:rPr>
          <w:rFonts w:ascii="Calibri" w:cs="Calibri" w:eastAsia="Calibri" w:hAnsi="Calibri"/>
          <w:sz w:val="21"/>
          <w:szCs w:val="21"/>
        </w:rPr>
        <w:t xml:space="preserve">If you have questions,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We would rather answer them now than have you discover something unexpected after you have left.</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Withholding and Release Statement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2505"/>
        <w:gridCol w:w="1736"/>
      </w:tblGrid>
      <w:tr>
        <w:trPr>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5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c>
          <w:tcPr>
            <w:tcW w:type="dxa" w:w="173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Final salary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encashment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in lieu of notice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Bonus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Reimbursements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withheld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Form IR21 filed</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Directive received; amount to remit</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Remitted to the authority</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Balance released to the employee</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Released to account</w:t>
            </w:r>
          </w:p>
        </w:tc>
        <w:tc>
          <w:tcPr>
            <w:tcW w:type="dxa" w:w="250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[BANK, ACCOUNT]</w:t>
            </w:r>
          </w:p>
        </w:tc>
        <w:tc>
          <w:tcPr>
            <w:tcW w:type="dxa" w:w="173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Withholding starts before filing, not after</w:t>
      </w:r>
    </w:p>
    <w:p>
      <w:pPr>
        <w:spacing w:after="60" w:line="264"/>
        <w:jc w:val="both"/>
      </w:pPr>
      <w:r>
        <w:rPr>
          <w:rFonts w:ascii="Calibri" w:cs="Calibri" w:eastAsia="Calibri" w:hAnsi="Calibri"/>
          <w:sz w:val="19"/>
          <w:szCs w:val="19"/>
        </w:rPr>
        <w:t xml:space="preserve">The obligation to withhold arises as soon as the employer knows the employee is ceasing employment or leaving — not when the form is filed, and not when a directive arrives. Step 2 of the process is deliberately placed before the compilation of income particulars. Payroll teams working to the normal cycle will pay the final salary automatically unless instructed otherwise, and by then the exposure exists.</w:t>
      </w:r>
    </w:p>
    <w:p>
      <w:pPr>
        <w:keepNext/>
        <w:spacing w:after="40" w:before="140"/>
      </w:pPr>
      <w:r>
        <w:rPr>
          <w:rFonts w:ascii="Calibri" w:cs="Calibri" w:eastAsia="Calibri" w:hAnsi="Calibri"/>
          <w:b/>
          <w:bCs/>
          <w:color w:val="14161B"/>
          <w:sz w:val="20"/>
          <w:szCs w:val="20"/>
        </w:rPr>
        <w:t xml:space="preserve">The employer can be liable for the employee’s tax</w:t>
      </w:r>
    </w:p>
    <w:p>
      <w:pPr>
        <w:spacing w:after="60" w:line="264"/>
        <w:jc w:val="both"/>
      </w:pPr>
      <w:r>
        <w:rPr>
          <w:rFonts w:ascii="Calibri" w:cs="Calibri" w:eastAsia="Calibri" w:hAnsi="Calibri"/>
          <w:sz w:val="19"/>
          <w:szCs w:val="19"/>
        </w:rPr>
        <w:t xml:space="preserve">Releasing monies before clearance can make the employer liable for the tax up to the amount released. That is the single reason this process matters commercially rather than administratively. It is also why the instruction to payroll must be immediate and unambiguous.</w:t>
      </w:r>
    </w:p>
    <w:p>
      <w:pPr>
        <w:keepNext/>
        <w:spacing w:after="40" w:before="140"/>
      </w:pPr>
      <w:r>
        <w:rPr>
          <w:rFonts w:ascii="Calibri" w:cs="Calibri" w:eastAsia="Calibri" w:hAnsi="Calibri"/>
          <w:b/>
          <w:bCs/>
          <w:color w:val="14161B"/>
          <w:sz w:val="20"/>
          <w:szCs w:val="20"/>
        </w:rPr>
        <w:t xml:space="preserve">One month before cessation or departure, whichever is earlier</w:t>
      </w:r>
    </w:p>
    <w:p>
      <w:pPr>
        <w:spacing w:after="60" w:line="264"/>
        <w:jc w:val="both"/>
      </w:pPr>
      <w:r>
        <w:rPr>
          <w:rFonts w:ascii="Calibri" w:cs="Calibri" w:eastAsia="Calibri" w:hAnsi="Calibri"/>
          <w:sz w:val="19"/>
          <w:szCs w:val="19"/>
        </w:rPr>
        <w:t xml:space="preserve">Where an employee resigns with a short notice period, the one-month filing window may already have closed by the time the resignation is received. File as soon as possible in that case and note the reason — late filing is better than no filing, but plan notice periods with this in mind.</w:t>
      </w:r>
    </w:p>
    <w:p>
      <w:pPr>
        <w:keepNext/>
        <w:spacing w:after="40" w:before="140"/>
      </w:pPr>
      <w:r>
        <w:rPr>
          <w:rFonts w:ascii="Calibri" w:cs="Calibri" w:eastAsia="Calibri" w:hAnsi="Calibri"/>
          <w:b/>
          <w:bCs/>
          <w:color w:val="14161B"/>
          <w:sz w:val="20"/>
          <w:szCs w:val="20"/>
        </w:rPr>
        <w:t xml:space="preserve">Permanent residents are not automatically outside the process</w:t>
      </w:r>
    </w:p>
    <w:p>
      <w:pPr>
        <w:spacing w:after="60" w:line="264"/>
        <w:jc w:val="both"/>
      </w:pPr>
      <w:r>
        <w:rPr>
          <w:rFonts w:ascii="Calibri" w:cs="Calibri" w:eastAsia="Calibri" w:hAnsi="Calibri"/>
          <w:sz w:val="19"/>
          <w:szCs w:val="19"/>
        </w:rPr>
        <w:t xml:space="preserve">Clearance is required for a permanent resident who is leaving Singapore permanently or for an extended period. Employers routinely assume permanent residence removes the obligation. Establish the employee’s intention and document it.</w:t>
      </w:r>
    </w:p>
    <w:p>
      <w:pPr>
        <w:keepNext/>
        <w:spacing w:after="40" w:before="140"/>
      </w:pPr>
      <w:r>
        <w:rPr>
          <w:rFonts w:ascii="Calibri" w:cs="Calibri" w:eastAsia="Calibri" w:hAnsi="Calibri"/>
          <w:b/>
          <w:bCs/>
          <w:color w:val="14161B"/>
          <w:sz w:val="20"/>
          <w:szCs w:val="20"/>
        </w:rPr>
        <w:t xml:space="preserve">The deemed exercise rule catches share plans</w:t>
      </w:r>
    </w:p>
    <w:p>
      <w:pPr>
        <w:spacing w:after="60" w:line="264"/>
        <w:jc w:val="both"/>
      </w:pPr>
      <w:r>
        <w:rPr>
          <w:rFonts w:ascii="Calibri" w:cs="Calibri" w:eastAsia="Calibri" w:hAnsi="Calibri"/>
          <w:sz w:val="19"/>
          <w:szCs w:val="19"/>
        </w:rPr>
        <w:t xml:space="preserve">A foreign employee who ceases employment or leaves Singapore holding unexercised options or unvested share awards may be </w:t>
      </w:r>
      <w:r>
        <w:rPr>
          <w:rFonts w:ascii="Calibri" w:cs="Calibri" w:eastAsia="Calibri" w:hAnsi="Calibri"/>
          <w:b/>
          <w:bCs/>
          <w:sz w:val="19"/>
          <w:szCs w:val="19"/>
        </w:rPr>
        <w:t xml:space="preserve">deemed</w:t>
      </w:r>
      <w:r>
        <w:rPr>
          <w:rFonts w:ascii="Calibri" w:cs="Calibri" w:eastAsia="Calibri" w:hAnsi="Calibri"/>
          <w:sz w:val="19"/>
          <w:szCs w:val="19"/>
        </w:rPr>
        <w:t xml:space="preserve"> to have exercised or vested them, with a taxable gain arising, even though no shares were sold and no cash received. This produces a real tax charge against no cash flow and is one of the most unpleasant surprises a departing employee can face. Identify equity holdings at step 5, compute the deemed gain, and tell the employee early — not in a directive after they have left.</w:t>
      </w:r>
    </w:p>
    <w:p>
      <w:pPr>
        <w:keepNext/>
        <w:spacing w:after="40" w:before="140"/>
      </w:pPr>
      <w:r>
        <w:rPr>
          <w:rFonts w:ascii="Calibri" w:cs="Calibri" w:eastAsia="Calibri" w:hAnsi="Calibri"/>
          <w:b/>
          <w:bCs/>
          <w:color w:val="14161B"/>
          <w:sz w:val="20"/>
          <w:szCs w:val="20"/>
        </w:rPr>
        <w:t xml:space="preserve">Withhold widely, let the authority decide taxability</w:t>
      </w:r>
    </w:p>
    <w:p>
      <w:pPr>
        <w:spacing w:after="60" w:line="264"/>
        <w:jc w:val="both"/>
      </w:pPr>
      <w:r>
        <w:rPr>
          <w:rFonts w:ascii="Calibri" w:cs="Calibri" w:eastAsia="Calibri" w:hAnsi="Calibri"/>
          <w:sz w:val="19"/>
          <w:szCs w:val="19"/>
        </w:rPr>
        <w:t xml:space="preserve">Where there is doubt whether a payment is taxable — an ex gratia sum, a retrenchment payment, a reimbursement — withhold it and report it. Deciding unilaterally that something is not taxable, and releasing it, is where liability arises. The authority determines the position.</w:t>
      </w:r>
    </w:p>
    <w:p>
      <w:pPr>
        <w:keepNext/>
        <w:spacing w:after="40" w:before="140"/>
      </w:pPr>
      <w:r>
        <w:rPr>
          <w:rFonts w:ascii="Calibri" w:cs="Calibri" w:eastAsia="Calibri" w:hAnsi="Calibri"/>
          <w:b/>
          <w:bCs/>
          <w:color w:val="14161B"/>
          <w:sz w:val="20"/>
          <w:szCs w:val="20"/>
        </w:rPr>
        <w:t xml:space="preserve">Tell the employee at the start</w:t>
      </w:r>
    </w:p>
    <w:p>
      <w:pPr>
        <w:spacing w:after="60" w:line="264"/>
        <w:jc w:val="both"/>
      </w:pPr>
      <w:r>
        <w:rPr>
          <w:rFonts w:ascii="Calibri" w:cs="Calibri" w:eastAsia="Calibri" w:hAnsi="Calibri"/>
          <w:sz w:val="19"/>
          <w:szCs w:val="19"/>
        </w:rPr>
        <w:t xml:space="preserve">A departing employee who is not told will assume final salary arrives as usual, and will often have committed the money. Annexure A explains the withholding, the likely timeline and what they must do. Sending it on the day the resignation is accepted prevents most of the friction in this process.</w:t>
      </w:r>
    </w:p>
    <w:p>
      <w:pPr>
        <w:keepNext/>
        <w:spacing w:after="40" w:before="140"/>
      </w:pPr>
      <w:r>
        <w:rPr>
          <w:rFonts w:ascii="Calibri" w:cs="Calibri" w:eastAsia="Calibri" w:hAnsi="Calibri"/>
          <w:b/>
          <w:bCs/>
          <w:color w:val="14161B"/>
          <w:sz w:val="20"/>
          <w:szCs w:val="20"/>
        </w:rPr>
        <w:t xml:space="preserve">Get the forwarding details before they leave</w:t>
      </w:r>
    </w:p>
    <w:p>
      <w:pPr>
        <w:spacing w:after="60" w:line="264"/>
        <w:jc w:val="both"/>
      </w:pPr>
      <w:r>
        <w:rPr>
          <w:rFonts w:ascii="Calibri" w:cs="Calibri" w:eastAsia="Calibri" w:hAnsi="Calibri"/>
          <w:sz w:val="19"/>
          <w:szCs w:val="19"/>
        </w:rPr>
        <w:t xml:space="preserve">Once the employee has left the country, obtaining a forwarding address and a working bank account becomes difficult, and the balance cannot be released. Collect these at the point of notification, not on the last day.</w:t>
      </w:r>
    </w:p>
    <w:p>
      <w:pPr>
        <w:keepNext/>
        <w:spacing w:after="40" w:before="140"/>
      </w:pPr>
      <w:r>
        <w:rPr>
          <w:rFonts w:ascii="Calibri" w:cs="Calibri" w:eastAsia="Calibri" w:hAnsi="Calibri"/>
          <w:b/>
          <w:bCs/>
          <w:color w:val="14161B"/>
          <w:sz w:val="20"/>
          <w:szCs w:val="20"/>
        </w:rPr>
        <w:t xml:space="preserve">Employer-borne tax is itself taxable</w:t>
      </w:r>
    </w:p>
    <w:p>
      <w:pPr>
        <w:spacing w:after="60" w:line="264"/>
        <w:jc w:val="both"/>
      </w:pPr>
      <w:r>
        <w:rPr>
          <w:rFonts w:ascii="Calibri" w:cs="Calibri" w:eastAsia="Calibri" w:hAnsi="Calibri"/>
          <w:sz w:val="19"/>
          <w:szCs w:val="19"/>
        </w:rPr>
        <w:t xml:space="preserve">Where the Company agrees to bear the employee’s tax, that benefit is taxable income and must be reported, which increases the liability. Tax equalisation and gross-up arrangements need to be computed correctly; take advice rather than estimating.</w:t>
      </w:r>
    </w:p>
    <w:p>
      <w:pPr>
        <w:keepNext/>
        <w:spacing w:after="40" w:before="140"/>
      </w:pPr>
      <w:r>
        <w:rPr>
          <w:rFonts w:ascii="Calibri" w:cs="Calibri" w:eastAsia="Calibri" w:hAnsi="Calibri"/>
          <w:b/>
          <w:bCs/>
          <w:color w:val="14161B"/>
          <w:sz w:val="20"/>
          <w:szCs w:val="20"/>
        </w:rPr>
        <w:t xml:space="preserve">The withholding may not cover the liability</w:t>
      </w:r>
    </w:p>
    <w:p>
      <w:pPr>
        <w:spacing w:after="60" w:line="264"/>
        <w:jc w:val="both"/>
      </w:pPr>
      <w:r>
        <w:rPr>
          <w:rFonts w:ascii="Calibri" w:cs="Calibri" w:eastAsia="Calibri" w:hAnsi="Calibri"/>
          <w:sz w:val="19"/>
          <w:szCs w:val="19"/>
        </w:rPr>
        <w:t xml:space="preserve">Where the tax exceeds the amount held, the shortfall remains the employee’s responsibility and the authority pursues them directly. Where it is less, the balance is released. Annexure A explains both outcomes, which manages the expectation before it becomes a complaint.</w:t>
      </w:r>
    </w:p>
    <w:p>
      <w:pPr>
        <w:keepNext/>
        <w:spacing w:after="40" w:before="140"/>
      </w:pPr>
      <w:r>
        <w:rPr>
          <w:rFonts w:ascii="Calibri" w:cs="Calibri" w:eastAsia="Calibri" w:hAnsi="Calibri"/>
          <w:b/>
          <w:bCs/>
          <w:color w:val="14161B"/>
          <w:sz w:val="20"/>
          <w:szCs w:val="20"/>
        </w:rPr>
        <w:t xml:space="preserve">Coordinate with pass cancellation</w:t>
      </w:r>
    </w:p>
    <w:p>
      <w:pPr>
        <w:spacing w:after="60" w:line="264"/>
        <w:jc w:val="both"/>
      </w:pPr>
      <w:r>
        <w:rPr>
          <w:rFonts w:ascii="Calibri" w:cs="Calibri" w:eastAsia="Calibri" w:hAnsi="Calibri"/>
          <w:sz w:val="19"/>
          <w:szCs w:val="19"/>
        </w:rPr>
        <w:t xml:space="preserve">Pass cancellation, tax clearance and, for some pass types, repatriation obligations all run from the same date on short timelines. Cancelling the pass promptly while the clearance is outstanding is normal; leaving the employee without an explanation of the grace period is not.</w:t>
      </w:r>
    </w:p>
    <w:p>
      <w:pPr>
        <w:keepNext/>
        <w:spacing w:after="40" w:before="140"/>
      </w:pPr>
      <w:r>
        <w:rPr>
          <w:rFonts w:ascii="Calibri" w:cs="Calibri" w:eastAsia="Calibri" w:hAnsi="Calibri"/>
          <w:b/>
          <w:bCs/>
          <w:color w:val="14161B"/>
          <w:sz w:val="20"/>
          <w:szCs w:val="20"/>
        </w:rPr>
        <w:t xml:space="preserve">Include prior years not yet assessed</w:t>
      </w:r>
    </w:p>
    <w:p>
      <w:pPr>
        <w:spacing w:after="60" w:line="264"/>
        <w:jc w:val="both"/>
      </w:pPr>
      <w:r>
        <w:rPr>
          <w:rFonts w:ascii="Calibri" w:cs="Calibri" w:eastAsia="Calibri" w:hAnsi="Calibri"/>
          <w:sz w:val="19"/>
          <w:szCs w:val="19"/>
        </w:rPr>
        <w:t xml:space="preserve">The form covers the current year and any earlier year for which income has not been assessed. Where an employee joined mid-year, or where prior filings are outstanding, the scope is wider than the final year alone.</w:t>
      </w:r>
    </w:p>
    <w:p>
      <w:pPr>
        <w:keepNext/>
        <w:spacing w:after="40" w:before="140"/>
      </w:pPr>
      <w:r>
        <w:rPr>
          <w:rFonts w:ascii="Calibri" w:cs="Calibri" w:eastAsia="Calibri" w:hAnsi="Calibri"/>
          <w:b/>
          <w:bCs/>
          <w:color w:val="14161B"/>
          <w:sz w:val="20"/>
          <w:szCs w:val="20"/>
        </w:rPr>
        <w:t xml:space="preserve">Keep the statement</w:t>
      </w:r>
    </w:p>
    <w:p>
      <w:pPr>
        <w:spacing w:after="60" w:line="264"/>
        <w:jc w:val="both"/>
      </w:pPr>
      <w:r>
        <w:rPr>
          <w:rFonts w:ascii="Calibri" w:cs="Calibri" w:eastAsia="Calibri" w:hAnsi="Calibri"/>
          <w:sz w:val="19"/>
          <w:szCs w:val="19"/>
        </w:rPr>
        <w:t xml:space="preserve">Annexure B gives the employee a clear record of what was withheld, what was remitted and what was released. It is also the employer’s evidence of compliance. Issue it on release rather than leaving the employee to reconcile a single net transfer against expectations.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tax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exemptions, reportable income categories, benefit valuation bases and the treatment of equity gains all change — confirm the current position with the Inland Revenue Authority of Singapore or a tax adviser before filing, particularly where the employee holds equity or has a complex remuneration package.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2026-08-22T06:55:28.850Z</dcterms:created>
  <dcterms:modified xsi:type="dcterms:W3CDTF">2026-08-22T06:55:28.850Z</dcterms:modified>
</cp:coreProperties>
</file>

<file path=docProps/custom.xml><?xml version="1.0" encoding="utf-8"?>
<Properties xmlns="http://schemas.openxmlformats.org/officeDocument/2006/custom-properties" xmlns:vt="http://schemas.openxmlformats.org/officeDocument/2006/docPropsVTypes"/>
</file>