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INVOICENOW READINESS</w:t>
      </w:r>
    </w:p>
    <w:p>
      <w:pPr>
        <w:spacing w:after="260"/>
        <w:jc w:val="center"/>
      </w:pPr>
      <w:r>
        <w:rPr>
          <w:rFonts w:ascii="Calibri" w:cs="Calibri" w:eastAsia="Calibri" w:hAnsi="Calibri"/>
          <w:i/>
          <w:iCs/>
          <w:color w:val="6E7480"/>
          <w:sz w:val="19"/>
          <w:szCs w:val="19"/>
        </w:rPr>
        <w:t xml:space="preserve">GST e-invoicing — scope, timeline and preparation</w:t>
      </w:r>
    </w:p>
    <w:p>
      <w:pPr>
        <w:spacing w:after="180" w:before="0" w:line="276"/>
        <w:jc w:val="both"/>
      </w:pPr>
      <w:r>
        <w:rPr>
          <w:rFonts w:ascii="Calibri" w:cs="Calibri" w:eastAsia="Calibri" w:hAnsi="Calibri"/>
          <w:i/>
          <w:iCs/>
          <w:color w:val="6E7480"/>
          <w:sz w:val="21"/>
          <w:szCs w:val="21"/>
        </w:rPr>
        <w:t xml:space="preserve">This is a systems project, not a template change. The requirement is to transmit prescribed invoice data to the tax authority through an accredited channel on the Peppol network, in a structured format, with incomplete or invalid submissions rejected. Businesses that treat it as an invoice redesign discover the problem late — and the phased deadlines run through to April 2031.</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5976"/>
      </w:tblGrid>
      <w:tr>
        <w:trPr>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9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Business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GST registration number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Registration basis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[Compulsory / Voluntary]</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GST registration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incorporation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Total annual supplies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 </w:t>
            </w:r>
            <w:r>
              <w:rPr>
                <w:rFonts w:ascii="Calibri" w:cs="Calibri" w:eastAsia="Calibri" w:hAnsi="Calibri"/>
                <w:b/>
                <w:bCs/>
                <w:sz w:val="19"/>
                <w:szCs w:val="19"/>
              </w:rPr>
              <w:t xml:space="preserve">[AMOUNT]</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Mandatory compliance date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 confirm using the authority’s checker or the notification received</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Accounting system</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 AND VERSION]</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InvoiceNow-ready solution or access point</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[PROVIDER]</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Peppol identifier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[ID]</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Project owner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Target go-live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WHAT THE REQUIREMENT IS</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InvoiceNow is the national e-invoicing network, operating on the international </w:t>
      </w:r>
      <w:r>
        <w:rPr>
          <w:rFonts w:ascii="Calibri" w:cs="Calibri" w:eastAsia="Calibri" w:hAnsi="Calibri"/>
          <w:b/>
          <w:bCs/>
          <w:sz w:val="21"/>
          <w:szCs w:val="21"/>
        </w:rPr>
        <w:t xml:space="preserve">Peppol</w:t>
      </w:r>
      <w:r>
        <w:rPr>
          <w:rFonts w:ascii="Calibri" w:cs="Calibri" w:eastAsia="Calibri" w:hAnsi="Calibri"/>
          <w:sz w:val="21"/>
          <w:szCs w:val="21"/>
        </w:rPr>
        <w:t xml:space="preserve"> standard, allowing structured invoices to pass between businesses across different accounting systems.</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The </w:t>
      </w:r>
      <w:r>
        <w:rPr>
          <w:rFonts w:ascii="Calibri" w:cs="Calibri" w:eastAsia="Calibri" w:hAnsi="Calibri"/>
          <w:b/>
          <w:bCs/>
          <w:sz w:val="21"/>
          <w:szCs w:val="21"/>
        </w:rPr>
        <w:t xml:space="preserve">GST InvoiceNow requirement</w:t>
      </w:r>
      <w:r>
        <w:rPr>
          <w:rFonts w:ascii="Calibri" w:cs="Calibri" w:eastAsia="Calibri" w:hAnsi="Calibri"/>
          <w:sz w:val="21"/>
          <w:szCs w:val="21"/>
        </w:rPr>
        <w:t xml:space="preserve"> is a separate obligation layered on top: GST-registered businesses in scope must transmit prescribed invoice data </w:t>
      </w:r>
      <w:r>
        <w:rPr>
          <w:rFonts w:ascii="Calibri" w:cs="Calibri" w:eastAsia="Calibri" w:hAnsi="Calibri"/>
          <w:b/>
          <w:bCs/>
          <w:sz w:val="21"/>
          <w:szCs w:val="21"/>
        </w:rPr>
        <w:t xml:space="preserve">to the Inland Revenue Authority</w:t>
      </w:r>
      <w:r>
        <w:rPr>
          <w:rFonts w:ascii="Calibri" w:cs="Calibri" w:eastAsia="Calibri" w:hAnsi="Calibri"/>
          <w:sz w:val="21"/>
          <w:szCs w:val="21"/>
        </w:rPr>
        <w:t xml:space="preserve"> through the network, using an accredited solution or access point.</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The format is </w:t>
      </w:r>
      <w:r>
        <w:rPr>
          <w:rFonts w:ascii="Calibri" w:cs="Calibri" w:eastAsia="Calibri" w:hAnsi="Calibri"/>
          <w:b/>
          <w:bCs/>
          <w:sz w:val="21"/>
          <w:szCs w:val="21"/>
        </w:rPr>
        <w:t xml:space="preserve">PINT-SG</w:t>
      </w:r>
      <w:r>
        <w:rPr>
          <w:rFonts w:ascii="Calibri" w:cs="Calibri" w:eastAsia="Calibri" w:hAnsi="Calibri"/>
          <w:sz w:val="21"/>
          <w:szCs w:val="21"/>
        </w:rPr>
        <w:t xml:space="preserve">, the Singapore Peppol specification. Transmission is through the five-corner model, with the authority receiving a copy of the invoice data.</w:t>
      </w:r>
    </w:p>
    <w:p>
      <w:pPr>
        <w:spacing w:after="120" w:before="60" w:line="276"/>
        <w:ind w:left="720" w:hanging="720"/>
        <w:jc w:val="both"/>
      </w:pPr>
      <w:r>
        <w:rPr>
          <w:rFonts w:ascii="Calibri" w:cs="Calibri" w:eastAsia="Calibri" w:hAnsi="Calibri"/>
          <w:sz w:val="21"/>
          <w:szCs w:val="21"/>
        </w:rPr>
        <w:t xml:space="preserve">1.4	</w:t>
      </w:r>
      <w:r>
        <w:rPr>
          <w:rFonts w:ascii="Calibri" w:cs="Calibri" w:eastAsia="Calibri" w:hAnsi="Calibri"/>
          <w:sz w:val="21"/>
          <w:szCs w:val="21"/>
        </w:rPr>
        <w:t xml:space="preserve">This shifts GST reporting from a periodic summary return towards transaction-level data received close to the time of issue.</w:t>
      </w:r>
    </w:p>
    <w:p>
      <w:pPr>
        <w:keepNext/>
        <w:spacing w:after="120" w:before="280"/>
        <w:outlineLvl w:val="0"/>
      </w:pPr>
      <w:r>
        <w:rPr>
          <w:rFonts w:ascii="Calibri" w:cs="Calibri" w:eastAsia="Calibri" w:hAnsi="Calibri"/>
          <w:b/>
          <w:bCs/>
          <w:color w:val="14161B"/>
          <w:sz w:val="22"/>
          <w:szCs w:val="22"/>
        </w:rPr>
        <w:t xml:space="preserve">2. TIMELINE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313"/>
        <w:gridCol w:w="5011"/>
        <w:gridCol w:w="2314"/>
      </w:tblGrid>
      <w:tr>
        <w:trPr>
          <w:tblHeader/>
        </w:trPr>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From</w:t>
            </w:r>
          </w:p>
        </w:tc>
        <w:tc>
          <w:tcPr>
            <w:tcW w:type="dxa" w:w="501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Who</w:t>
            </w:r>
          </w:p>
        </w:tc>
        <w:tc>
          <w:tcPr>
            <w:tcW w:type="dxa" w:w="231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Status</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May 2025</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Voluntary early adoption</w:t>
            </w:r>
          </w:p>
        </w:tc>
        <w:tc>
          <w:tcPr>
            <w:tcW w:type="dxa" w:w="231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Open</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1 November 2025</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Newly incorporated companies registering for GST </w:t>
            </w:r>
            <w:r>
              <w:rPr>
                <w:rFonts w:ascii="Calibri" w:cs="Calibri" w:eastAsia="Calibri" w:hAnsi="Calibri"/>
                <w:b/>
                <w:bCs/>
                <w:sz w:val="18"/>
                <w:szCs w:val="18"/>
              </w:rPr>
              <w:t xml:space="preserve">voluntarily</w:t>
            </w:r>
            <w:r>
              <w:rPr>
                <w:rFonts w:ascii="Calibri" w:cs="Calibri" w:eastAsia="Calibri" w:hAnsi="Calibri"/>
                <w:sz w:val="18"/>
                <w:szCs w:val="18"/>
              </w:rPr>
              <w:t xml:space="preserve"> within six months of incorporation</w:t>
            </w:r>
          </w:p>
        </w:tc>
        <w:tc>
          <w:tcPr>
            <w:tcW w:type="dxa" w:w="231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 force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1 April 2026</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All</w:t>
            </w:r>
            <w:r>
              <w:rPr>
                <w:rFonts w:ascii="Calibri" w:cs="Calibri" w:eastAsia="Calibri" w:hAnsi="Calibri"/>
                <w:sz w:val="18"/>
                <w:szCs w:val="18"/>
              </w:rPr>
              <w:t xml:space="preserve"> new voluntary GST registrants, regardless of incorporation date or business structure</w:t>
            </w:r>
          </w:p>
        </w:tc>
        <w:tc>
          <w:tcPr>
            <w:tcW w:type="dxa" w:w="231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 force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From April 2028, in phases</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New and existing GST-registered businesses, by size band</w:t>
            </w:r>
          </w:p>
        </w:tc>
        <w:tc>
          <w:tcPr>
            <w:tcW w:type="dxa" w:w="231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Announced — confirm your date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By April 2031</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All</w:t>
            </w:r>
            <w:r>
              <w:rPr>
                <w:rFonts w:ascii="Calibri" w:cs="Calibri" w:eastAsia="Calibri" w:hAnsi="Calibri"/>
                <w:sz w:val="18"/>
                <w:szCs w:val="18"/>
              </w:rPr>
              <w:t xml:space="preserve"> GST-registered businesses</w:t>
            </w:r>
          </w:p>
        </w:tc>
        <w:tc>
          <w:tcPr>
            <w:tcW w:type="dxa" w:w="231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Announced</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Existing registrants notified individually of their mandatory date</w:t>
            </w:r>
          </w:p>
        </w:tc>
        <w:tc>
          <w:tcPr>
            <w:tcW w:type="dxa" w:w="231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Check the notification or the authority’s online checker</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Exemptions have included overseas entities, including overseas vendors registered under the overseas vendor regime, and businesses liable to register solely by reason of reverse charge. </w:t>
      </w:r>
      <w:r>
        <w:rPr>
          <w:rFonts w:ascii="Calibri" w:cs="Calibri" w:eastAsia="Calibri" w:hAnsi="Calibri"/>
          <w:i/>
          <w:iCs/>
          <w:sz w:val="21"/>
          <w:szCs w:val="21"/>
        </w:rPr>
        <w:t xml:space="preserve">Confirm whether an exemption applies rather than assuming.</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i/>
          <w:iCs/>
          <w:sz w:val="21"/>
          <w:szCs w:val="21"/>
        </w:rPr>
        <w:t xml:space="preserve">A transition grant has been made available to help smaller businesses meet adoption costs, subject to conditions including a size threshold, a minimum subscription period, and actual transmission of live data before the deadline. Check current availability and terms.</w:t>
      </w:r>
    </w:p>
    <w:p>
      <w:pPr>
        <w:keepNext/>
        <w:spacing w:after="120" w:before="280"/>
        <w:outlineLvl w:val="0"/>
      </w:pPr>
      <w:r>
        <w:rPr>
          <w:rFonts w:ascii="Calibri" w:cs="Calibri" w:eastAsia="Calibri" w:hAnsi="Calibri"/>
          <w:b/>
          <w:bCs/>
          <w:color w:val="14161B"/>
          <w:sz w:val="22"/>
          <w:szCs w:val="22"/>
        </w:rPr>
        <w:t xml:space="preserve">3. READINESS ASSESSMENT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4529"/>
        <w:gridCol w:w="2313"/>
        <w:gridCol w:w="2315"/>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52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Question</w:t>
            </w:r>
          </w:p>
        </w:tc>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Position</w:t>
            </w:r>
          </w:p>
        </w:tc>
        <w:tc>
          <w:tcPr>
            <w:tcW w:type="dxa" w:w="231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Gap</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What is our mandatory compliance date?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Does our accounting system support InvoiceNow, and on which version?</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If not, do we upgrade, replace, or connect through an access point?</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[DECISION]</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our chosen provider accredited?</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 we have a Peppol identifier registered?</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Are all mandatory data fields captured in our system today?</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customer master data complete — UEN, Peppol ID, addresses?</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Are tax codes correctly mapped — standard, zero-rated, exempt, out of scope?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How are credit and debit notes handled?</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How are foreign currency invoices handled, with GST in Singapore dollars?</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 we issue invoices from more than one system or entity?</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Who monitors and resolves rejected transmissions?</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13</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What is our fallback if transmission fails?</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14</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Have we budgeted subscription, integration and internal effort?</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15</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 transition grant available to us, and have we met its conditions?</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bl>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DATA QUALITY</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Structured transmission is unforgiving in a way that a printed invoice is not. Data that a human reader would interpret without difficulty will be </w:t>
      </w:r>
      <w:r>
        <w:rPr>
          <w:rFonts w:ascii="Calibri" w:cs="Calibri" w:eastAsia="Calibri" w:hAnsi="Calibri"/>
          <w:b/>
          <w:bCs/>
          <w:sz w:val="21"/>
          <w:szCs w:val="21"/>
        </w:rPr>
        <w:t xml:space="preserve">rejected outright</w:t>
      </w:r>
      <w:r>
        <w:rPr>
          <w:rFonts w:ascii="Calibri" w:cs="Calibri" w:eastAsia="Calibri" w:hAnsi="Calibri"/>
          <w:sz w:val="21"/>
          <w:szCs w:val="21"/>
        </w:rPr>
        <w:t xml:space="preserv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120"/>
        <w:gridCol w:w="3469"/>
        <w:gridCol w:w="4049"/>
      </w:tblGrid>
      <w:tr>
        <w:trPr>
          <w:tblHeader/>
        </w:trPr>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Data item</w:t>
            </w:r>
          </w:p>
        </w:tc>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Common problem</w:t>
            </w:r>
          </w:p>
        </w:tc>
        <w:tc>
          <w:tcPr>
            <w:tcW w:type="dxa" w:w="40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What to do before go-live</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Customer UEN</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Missing, mistyped, or held in a free-text note field</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Cleanse the customer master; validate format</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Customer Peppol identifier</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 held at all</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Collect from customers; verify on the network</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Tax codes</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One code used for zero-rated and exempt supplies alike</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Separate the codes and remap historical items</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Line descriptions</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Blank, or a code with no description</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Ensure every line has a description sufficient to identify the supply</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Quantities and units</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Missing where goods are supplied</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Populate quantity and unit of measure</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Currency and exchange rate</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GST not expressed in Singapore dollars</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Ensure conversion and the rate source are captured</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Invoice numbering</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Gaps, duplicates, or restarts across systems</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Single sequential series per issuing entity</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Credit and debit notes</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 reference to the original invoice</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Enforce the reference as a mandatory field</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Rounding</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Line-level and total-level rounding inconsistent</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Agree and configure one rounding rule</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Addresses</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Incomplete or unstructured</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Structure into the required fields</w:t>
            </w:r>
          </w:p>
        </w:tc>
      </w:tr>
    </w:tbl>
    <w:p>
      <w:pPr>
        <w:spacing w:after="160"/>
      </w:pPr>
    </w:p>
    <w:p>
      <w:pPr>
        <w:keepNext/>
        <w:spacing w:after="120" w:before="280"/>
        <w:outlineLvl w:val="0"/>
      </w:pPr>
      <w:r>
        <w:rPr>
          <w:rFonts w:ascii="Calibri" w:cs="Calibri" w:eastAsia="Calibri" w:hAnsi="Calibri"/>
          <w:b/>
          <w:bCs/>
          <w:color w:val="14161B"/>
          <w:sz w:val="22"/>
          <w:szCs w:val="22"/>
        </w:rPr>
        <w:t xml:space="preserve">5. IMPLEMENTATION PLAN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4529"/>
        <w:gridCol w:w="1734"/>
        <w:gridCol w:w="1349"/>
        <w:gridCol w:w="1545"/>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52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Step</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Target</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Owner</w:t>
            </w:r>
          </w:p>
        </w:tc>
        <w:tc>
          <w:tcPr>
            <w:tcW w:type="dxa" w:w="154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Confirm the mandatory date using the authority’s checker or the notification received</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Now</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[Finance]</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Assess the current system against the requirement</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Month 1</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[IT]</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Decide the approach — upgrade, replace or access point</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Month 1</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[Finance]</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Select an accredited provider; confirm accreditation directly</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Month 2</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[IT]</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Register the Peppol identifier</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Month 2</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[IT]</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Map mandatory fields against current system fields; identify gaps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Month 2</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[Finance]</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Cleanse customer master data</w:t>
            </w:r>
            <w:r>
              <w:rPr>
                <w:rFonts w:ascii="Calibri" w:cs="Calibri" w:eastAsia="Calibri" w:hAnsi="Calibri"/>
                <w:sz w:val="17"/>
                <w:szCs w:val="17"/>
              </w:rPr>
              <w:t xml:space="preserve"> — usually the longest task</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Months 2–4</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[Finance]</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Remap tax codes; separate zero-rated from exempt</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Month 3</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[Finance]</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Configure and test transmission in a test environment</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Month 4</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[IT]</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Test credit notes, debit notes, foreign currency and edge cases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Month 4</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[Finance]</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Transmit live data successfully before the deadline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Month 5</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[IT]</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Establish daily monitoring of rejections and a resolution owner</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Month 5</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[Finance]</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13</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Document the fallback process for transmission failure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Month 5</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[Finance]</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14</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Train the finance team and anyone raising invoices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Month 5</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[Finance]</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15</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Reconcile transmitted data to the GST return for the first periods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Ongoing</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[Finance]</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16</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Retain transmitted data alongside the invoice records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Ongoing</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[Finance]</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bl>
    <w:p>
      <w:pPr>
        <w:spacing w:after="160"/>
      </w:pPr>
    </w:p>
    <w:p>
      <w:pPr>
        <w:keepNext/>
        <w:spacing w:after="120" w:before="280"/>
        <w:outlineLvl w:val="0"/>
      </w:pPr>
      <w:r>
        <w:rPr>
          <w:rFonts w:ascii="Calibri" w:cs="Calibri" w:eastAsia="Calibri" w:hAnsi="Calibri"/>
          <w:b/>
          <w:bCs/>
          <w:color w:val="14161B"/>
          <w:sz w:val="22"/>
          <w:szCs w:val="22"/>
        </w:rPr>
        <w:t xml:space="preserve">6. AFTER GO-LIVE</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Rejected transmissions must be identified and resolved promptly. An invoice issued to a customer but not successfully transmitted is a compliance gap that will not announce itself.</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Transmitted data should be reconciled to the GST return each period. Divergence between what was transmitted and what was declared is precisely what transaction-level reporting is designed to surface.</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The underlying GST rules are unchanged. Tax invoices must still contain the required particulars, the rate is unchanged, and time of supply still determines the reporting period.</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Retain transmitted data as well as the invoice documents, for the statutory retention period.</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This is a systems project with a fixed deadline</w:t>
      </w:r>
    </w:p>
    <w:p>
      <w:pPr>
        <w:spacing w:after="60" w:line="264"/>
        <w:jc w:val="both"/>
      </w:pPr>
      <w:r>
        <w:rPr>
          <w:rFonts w:ascii="Calibri" w:cs="Calibri" w:eastAsia="Calibri" w:hAnsi="Calibri"/>
          <w:sz w:val="19"/>
          <w:szCs w:val="19"/>
        </w:rPr>
        <w:t xml:space="preserve">The requirement is structured data transmission through an accredited channel, not a change to how invoices look. Businesses that scope it as a template exercise find in the final month that customer data is incomplete, tax codes are conflated and the accounting system does not support the format. Start from the readiness assessment, not from the invoice layout.</w:t>
      </w:r>
    </w:p>
    <w:p>
      <w:pPr>
        <w:keepNext/>
        <w:spacing w:after="40" w:before="140"/>
      </w:pPr>
      <w:r>
        <w:rPr>
          <w:rFonts w:ascii="Calibri" w:cs="Calibri" w:eastAsia="Calibri" w:hAnsi="Calibri"/>
          <w:b/>
          <w:bCs/>
          <w:color w:val="14161B"/>
          <w:sz w:val="20"/>
          <w:szCs w:val="20"/>
        </w:rPr>
        <w:t xml:space="preserve">Find your actual date</w:t>
      </w:r>
    </w:p>
    <w:p>
      <w:pPr>
        <w:spacing w:after="60" w:line="264"/>
        <w:jc w:val="both"/>
      </w:pPr>
      <w:r>
        <w:rPr>
          <w:rFonts w:ascii="Calibri" w:cs="Calibri" w:eastAsia="Calibri" w:hAnsi="Calibri"/>
          <w:sz w:val="19"/>
          <w:szCs w:val="19"/>
        </w:rPr>
        <w:t xml:space="preserve">The obligation is phased. It applied from November 2025 to newly incorporated companies registering voluntarily within six months of incorporation, from April 2026 to all new voluntary registrants, and extends in phases to all GST-registered businesses by April 2031. Existing registrants are being notified individually and can check their date with the authority’s online tool. Do not assume the deadline is distant.</w:t>
      </w:r>
    </w:p>
    <w:p>
      <w:pPr>
        <w:keepNext/>
        <w:spacing w:after="40" w:before="140"/>
      </w:pPr>
      <w:r>
        <w:rPr>
          <w:rFonts w:ascii="Calibri" w:cs="Calibri" w:eastAsia="Calibri" w:hAnsi="Calibri"/>
          <w:b/>
          <w:bCs/>
          <w:color w:val="14161B"/>
          <w:sz w:val="20"/>
          <w:szCs w:val="20"/>
        </w:rPr>
        <w:t xml:space="preserve">Voluntary registration now brings the requirement with it</w:t>
      </w:r>
    </w:p>
    <w:p>
      <w:pPr>
        <w:spacing w:after="60" w:line="264"/>
        <w:jc w:val="both"/>
      </w:pPr>
      <w:r>
        <w:rPr>
          <w:rFonts w:ascii="Calibri" w:cs="Calibri" w:eastAsia="Calibri" w:hAnsi="Calibri"/>
          <w:sz w:val="19"/>
          <w:szCs w:val="19"/>
        </w:rPr>
        <w:t xml:space="preserve">A business considering voluntary GST registration should factor in that it will come within the e-invoicing requirement from the outset. That changes the cost-benefit of registering early, particularly for a small business with a simple accounting setup.</w:t>
      </w:r>
    </w:p>
    <w:p>
      <w:pPr>
        <w:keepNext/>
        <w:spacing w:after="40" w:before="140"/>
      </w:pPr>
      <w:r>
        <w:rPr>
          <w:rFonts w:ascii="Calibri" w:cs="Calibri" w:eastAsia="Calibri" w:hAnsi="Calibri"/>
          <w:b/>
          <w:bCs/>
          <w:color w:val="14161B"/>
          <w:sz w:val="20"/>
          <w:szCs w:val="20"/>
        </w:rPr>
        <w:t xml:space="preserve">Customer master data is the long pole</w:t>
      </w:r>
    </w:p>
    <w:p>
      <w:pPr>
        <w:spacing w:after="60" w:line="264"/>
        <w:jc w:val="both"/>
      </w:pPr>
      <w:r>
        <w:rPr>
          <w:rFonts w:ascii="Calibri" w:cs="Calibri" w:eastAsia="Calibri" w:hAnsi="Calibri"/>
          <w:sz w:val="19"/>
          <w:szCs w:val="19"/>
        </w:rPr>
        <w:t xml:space="preserve">Collecting and validating customer UENs and Peppol identifiers across an existing customer base takes months, because it depends on customers responding. Step 7 is scheduled across three months for that reason. Begin it before the system work, not after.</w:t>
      </w:r>
    </w:p>
    <w:p>
      <w:pPr>
        <w:keepNext/>
        <w:spacing w:after="40" w:before="140"/>
      </w:pPr>
      <w:r>
        <w:rPr>
          <w:rFonts w:ascii="Calibri" w:cs="Calibri" w:eastAsia="Calibri" w:hAnsi="Calibri"/>
          <w:b/>
          <w:bCs/>
          <w:color w:val="14161B"/>
          <w:sz w:val="20"/>
          <w:szCs w:val="20"/>
        </w:rPr>
        <w:t xml:space="preserve">Rejection is automatic and silent unless monitored</w:t>
      </w:r>
    </w:p>
    <w:p>
      <w:pPr>
        <w:spacing w:after="60" w:line="264"/>
        <w:jc w:val="both"/>
      </w:pPr>
      <w:r>
        <w:rPr>
          <w:rFonts w:ascii="Calibri" w:cs="Calibri" w:eastAsia="Calibri" w:hAnsi="Calibri"/>
          <w:sz w:val="19"/>
          <w:szCs w:val="19"/>
        </w:rPr>
        <w:t xml:space="preserve">Incomplete or invalid submissions are rejected by the network. Without a daily monitoring process and a named owner, invoices issued to customers can sit untransmitted indefinitely. Step 12 and Clause 6.1 exist because this is the most likely post-go-live failure.</w:t>
      </w:r>
    </w:p>
    <w:p>
      <w:pPr>
        <w:keepNext/>
        <w:spacing w:after="40" w:before="140"/>
      </w:pPr>
      <w:r>
        <w:rPr>
          <w:rFonts w:ascii="Calibri" w:cs="Calibri" w:eastAsia="Calibri" w:hAnsi="Calibri"/>
          <w:b/>
          <w:bCs/>
          <w:color w:val="14161B"/>
          <w:sz w:val="20"/>
          <w:szCs w:val="20"/>
        </w:rPr>
        <w:t xml:space="preserve">Separate zero-rated from exempt in the tax codes</w:t>
      </w:r>
    </w:p>
    <w:p>
      <w:pPr>
        <w:spacing w:after="60" w:line="264"/>
        <w:jc w:val="both"/>
      </w:pPr>
      <w:r>
        <w:rPr>
          <w:rFonts w:ascii="Calibri" w:cs="Calibri" w:eastAsia="Calibri" w:hAnsi="Calibri"/>
          <w:sz w:val="19"/>
          <w:szCs w:val="19"/>
        </w:rPr>
        <w:t xml:space="preserve">Many systems use one code for both because the tax charged is nil either way. Structured reporting distinguishes them, and the input tax consequences differ. Remapping historical data is tedious but is far easier before go-live than after.</w:t>
      </w:r>
    </w:p>
    <w:p>
      <w:pPr>
        <w:keepNext/>
        <w:spacing w:after="40" w:before="140"/>
      </w:pPr>
      <w:r>
        <w:rPr>
          <w:rFonts w:ascii="Calibri" w:cs="Calibri" w:eastAsia="Calibri" w:hAnsi="Calibri"/>
          <w:b/>
          <w:bCs/>
          <w:color w:val="14161B"/>
          <w:sz w:val="20"/>
          <w:szCs w:val="20"/>
        </w:rPr>
        <w:t xml:space="preserve">GST in Singapore dollars, whatever the invoice currency</w:t>
      </w:r>
    </w:p>
    <w:p>
      <w:pPr>
        <w:spacing w:after="60" w:line="264"/>
        <w:jc w:val="both"/>
      </w:pPr>
      <w:r>
        <w:rPr>
          <w:rFonts w:ascii="Calibri" w:cs="Calibri" w:eastAsia="Calibri" w:hAnsi="Calibri"/>
          <w:sz w:val="19"/>
          <w:szCs w:val="19"/>
        </w:rPr>
        <w:t xml:space="preserve">Where an invoice is issued in a foreign currency, the tax amount must still be expressed in Singapore dollars at an accepted rate. Ensure the system captures the rate and its source, not merely the converted figure.</w:t>
      </w:r>
    </w:p>
    <w:p>
      <w:pPr>
        <w:keepNext/>
        <w:spacing w:after="40" w:before="140"/>
      </w:pPr>
      <w:r>
        <w:rPr>
          <w:rFonts w:ascii="Calibri" w:cs="Calibri" w:eastAsia="Calibri" w:hAnsi="Calibri"/>
          <w:b/>
          <w:bCs/>
          <w:color w:val="14161B"/>
          <w:sz w:val="20"/>
          <w:szCs w:val="20"/>
        </w:rPr>
        <w:t xml:space="preserve">Invoice numbering across multiple systems</w:t>
      </w:r>
    </w:p>
    <w:p>
      <w:pPr>
        <w:spacing w:after="60" w:line="264"/>
        <w:jc w:val="both"/>
      </w:pPr>
      <w:r>
        <w:rPr>
          <w:rFonts w:ascii="Calibri" w:cs="Calibri" w:eastAsia="Calibri" w:hAnsi="Calibri"/>
          <w:sz w:val="19"/>
          <w:szCs w:val="19"/>
        </w:rPr>
        <w:t xml:space="preserve">Businesses issuing invoices from more than one system or entity frequently have overlapping or duplicated series. Structured transmission surfaces this immediately. Establish one sequential series per issuing entity before go-live.</w:t>
      </w:r>
    </w:p>
    <w:p>
      <w:pPr>
        <w:keepNext/>
        <w:spacing w:after="40" w:before="140"/>
      </w:pPr>
      <w:r>
        <w:rPr>
          <w:rFonts w:ascii="Calibri" w:cs="Calibri" w:eastAsia="Calibri" w:hAnsi="Calibri"/>
          <w:b/>
          <w:bCs/>
          <w:color w:val="14161B"/>
          <w:sz w:val="20"/>
          <w:szCs w:val="20"/>
        </w:rPr>
        <w:t xml:space="preserve">Credit and debit notes need the original reference</w:t>
      </w:r>
    </w:p>
    <w:p>
      <w:pPr>
        <w:spacing w:after="60" w:line="264"/>
        <w:jc w:val="both"/>
      </w:pPr>
      <w:r>
        <w:rPr>
          <w:rFonts w:ascii="Calibri" w:cs="Calibri" w:eastAsia="Calibri" w:hAnsi="Calibri"/>
          <w:sz w:val="19"/>
          <w:szCs w:val="19"/>
        </w:rPr>
        <w:t xml:space="preserve">A correction must reference the invoice it corrects. Where the system allows a credit note to be raised without that link, make it mandatory. Corrections without references are a common rejection cause and an audit finding.</w:t>
      </w:r>
    </w:p>
    <w:p>
      <w:pPr>
        <w:keepNext/>
        <w:spacing w:after="40" w:before="140"/>
      </w:pPr>
      <w:r>
        <w:rPr>
          <w:rFonts w:ascii="Calibri" w:cs="Calibri" w:eastAsia="Calibri" w:hAnsi="Calibri"/>
          <w:b/>
          <w:bCs/>
          <w:color w:val="14161B"/>
          <w:sz w:val="20"/>
          <w:szCs w:val="20"/>
        </w:rPr>
        <w:t xml:space="preserve">The underlying GST rules have not changed</w:t>
      </w:r>
    </w:p>
    <w:p>
      <w:pPr>
        <w:spacing w:after="60" w:line="264"/>
        <w:jc w:val="both"/>
      </w:pPr>
      <w:r>
        <w:rPr>
          <w:rFonts w:ascii="Calibri" w:cs="Calibri" w:eastAsia="Calibri" w:hAnsi="Calibri"/>
          <w:sz w:val="19"/>
          <w:szCs w:val="19"/>
        </w:rPr>
        <w:t xml:space="preserve">Tax invoice particulars, the rate, the simplified invoice threshold and the time of supply rules all continue to apply. E-invoicing changes the transmission, not the substance. A business with existing GST errors will find that structured reporting makes them more visible, not less.</w:t>
      </w:r>
    </w:p>
    <w:p>
      <w:pPr>
        <w:keepNext/>
        <w:spacing w:after="40" w:before="140"/>
      </w:pPr>
      <w:r>
        <w:rPr>
          <w:rFonts w:ascii="Calibri" w:cs="Calibri" w:eastAsia="Calibri" w:hAnsi="Calibri"/>
          <w:b/>
          <w:bCs/>
          <w:color w:val="14161B"/>
          <w:sz w:val="20"/>
          <w:szCs w:val="20"/>
        </w:rPr>
        <w:t xml:space="preserve">Check the grant conditions carefully</w:t>
      </w:r>
    </w:p>
    <w:p>
      <w:pPr>
        <w:spacing w:after="60" w:line="264"/>
        <w:jc w:val="both"/>
      </w:pPr>
      <w:r>
        <w:rPr>
          <w:rFonts w:ascii="Calibri" w:cs="Calibri" w:eastAsia="Calibri" w:hAnsi="Calibri"/>
          <w:sz w:val="19"/>
          <w:szCs w:val="19"/>
        </w:rPr>
        <w:t xml:space="preserve">A transition grant has been made available to help smaller businesses with adoption costs, subject to conditions that have included a size threshold, a minimum subscription commitment, and successful transmission of live data before the mandated date. Meeting the conditions requires action well before the deadline, not merely an application.</w:t>
      </w:r>
    </w:p>
    <w:p>
      <w:pPr>
        <w:keepNext/>
        <w:spacing w:after="40" w:before="140"/>
      </w:pPr>
      <w:r>
        <w:rPr>
          <w:rFonts w:ascii="Calibri" w:cs="Calibri" w:eastAsia="Calibri" w:hAnsi="Calibri"/>
          <w:b/>
          <w:bCs/>
          <w:color w:val="14161B"/>
          <w:sz w:val="20"/>
          <w:szCs w:val="20"/>
        </w:rPr>
        <w:t xml:space="preserve">Confirm your provider is accredited</w:t>
      </w:r>
    </w:p>
    <w:p>
      <w:pPr>
        <w:spacing w:after="60" w:line="264"/>
        <w:jc w:val="both"/>
      </w:pPr>
      <w:r>
        <w:rPr>
          <w:rFonts w:ascii="Calibri" w:cs="Calibri" w:eastAsia="Calibri" w:hAnsi="Calibri"/>
          <w:sz w:val="19"/>
          <w:szCs w:val="19"/>
        </w:rPr>
        <w:t xml:space="preserve">Only accredited solutions and access points may transmit to the authority. Confirm accreditation directly rather than relying on a vendor’s marketing, and check that the accreditation covers the specific service being purchased.</w:t>
      </w:r>
    </w:p>
    <w:p>
      <w:pPr>
        <w:keepNext/>
        <w:spacing w:after="40" w:before="140"/>
      </w:pPr>
      <w:r>
        <w:rPr>
          <w:rFonts w:ascii="Calibri" w:cs="Calibri" w:eastAsia="Calibri" w:hAnsi="Calibri"/>
          <w:b/>
          <w:bCs/>
          <w:color w:val="14161B"/>
          <w:sz w:val="20"/>
          <w:szCs w:val="20"/>
        </w:rPr>
        <w:t xml:space="preserve">Expect the direction of travel to continue</w:t>
      </w:r>
    </w:p>
    <w:p>
      <w:pPr>
        <w:spacing w:after="60" w:line="264"/>
        <w:jc w:val="both"/>
      </w:pPr>
      <w:r>
        <w:rPr>
          <w:rFonts w:ascii="Calibri" w:cs="Calibri" w:eastAsia="Calibri" w:hAnsi="Calibri"/>
          <w:sz w:val="19"/>
          <w:szCs w:val="19"/>
        </w:rPr>
        <w:t xml:space="preserve">Transaction-level reporting close to real time is the pattern being adopted across the region. A business investing in clean master data, correct tax coding and reliable transmission is preparing for more than this single requirement.</w:t>
      </w:r>
    </w:p>
    <w:p>
      <w:pPr>
        <w:keepNext/>
        <w:spacing w:after="40" w:before="140"/>
      </w:pPr>
      <w:r>
        <w:rPr>
          <w:rFonts w:ascii="Calibri" w:cs="Calibri" w:eastAsia="Calibri" w:hAnsi="Calibri"/>
          <w:b/>
          <w:bCs/>
          <w:color w:val="14161B"/>
          <w:sz w:val="20"/>
          <w:szCs w:val="20"/>
        </w:rPr>
        <w:t xml:space="preserve">Reconcile transmitted data to the return</w:t>
      </w:r>
    </w:p>
    <w:p>
      <w:pPr>
        <w:spacing w:after="60" w:line="264"/>
        <w:jc w:val="both"/>
      </w:pPr>
      <w:r>
        <w:rPr>
          <w:rFonts w:ascii="Calibri" w:cs="Calibri" w:eastAsia="Calibri" w:hAnsi="Calibri"/>
          <w:sz w:val="19"/>
          <w:szCs w:val="19"/>
        </w:rPr>
        <w:t xml:space="preserve">Clause 6.2 is the control that matters after go-live. The authority now holds transaction-level data; a return that does not reconcile to it is a discrepancy that will be visible without any audit being opened.</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requirements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Implementation dates and phases, exemptions, the PINT-SG specification, accredited provider lists and grant terms all change — confirm your mandatory date and the current specification with the Inland Revenue Authority of Singapore before committing to an implementation plan.</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2026-08-22T06:55:29.878Z</dcterms:created>
  <dcterms:modified xsi:type="dcterms:W3CDTF">2026-08-22T06:55:29.878Z</dcterms:modified>
</cp:coreProperties>
</file>

<file path=docProps/custom.xml><?xml version="1.0" encoding="utf-8"?>
<Properties xmlns="http://schemas.openxmlformats.org/officeDocument/2006/custom-properties" xmlns:vt="http://schemas.openxmlformats.org/officeDocument/2006/docPropsVTypes"/>
</file>