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SALARY REVISION AND PROMOTION</w:t>
      </w:r>
    </w:p>
    <w:p>
      <w:pPr>
        <w:spacing w:after="260"/>
        <w:jc w:val="center"/>
      </w:pPr>
      <w:r>
        <w:rPr>
          <w:rFonts w:ascii="Calibri" w:cs="Calibri" w:eastAsia="Calibri" w:hAnsi="Calibri"/>
          <w:i/>
          <w:iCs/>
          <w:color w:val="6E7480"/>
          <w:sz w:val="19"/>
          <w:szCs w:val="19"/>
        </w:rPr>
        <w:t xml:space="preserve">Increment, promotion and change of terms</w:t>
      </w:r>
    </w:p>
    <w:p>
      <w:pPr>
        <w:spacing w:after="180" w:before="0" w:line="276"/>
        <w:jc w:val="both"/>
      </w:pPr>
      <w:r>
        <w:rPr>
          <w:rFonts w:ascii="Calibri" w:cs="Calibri" w:eastAsia="Calibri" w:hAnsi="Calibri"/>
          <w:i/>
          <w:iCs/>
          <w:color w:val="6E7480"/>
          <w:sz w:val="21"/>
          <w:szCs w:val="21"/>
        </w:rPr>
        <w:t xml:space="preserve">A change to remuneration is a change to the key employment terms and must be notified in writing. Where a promotion changes duties, hours or reporting, the notification should cover those too — not only the number. Restrictive covenants drafted for the old role are also worth revisiting at this point.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Current role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 of change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 increment / Promotion / Market adjustment / Role change / Combination]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period covered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Recommended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Covenant review needed?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see the notes]</w:t>
            </w:r>
          </w:p>
        </w:tc>
      </w:tr>
    </w:tbl>
    <w:p>
      <w:pPr>
        <w:spacing w:after="180"/>
      </w:pPr>
    </w:p>
    <w:p>
      <w:pPr>
        <w:keepNext/>
        <w:spacing w:after="120" w:before="280"/>
        <w:outlineLvl w:val="0"/>
      </w:pPr>
      <w:r>
        <w:rPr>
          <w:rFonts w:ascii="Calibri" w:cs="Calibri" w:eastAsia="Calibri" w:hAnsi="Calibri"/>
          <w:b/>
          <w:bCs/>
          <w:color w:val="14161B"/>
          <w:sz w:val="22"/>
          <w:szCs w:val="22"/>
        </w:rPr>
        <w:t xml:space="preserve">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[Salary revision / Promotion and salary revision]</w:t>
      </w:r>
    </w:p>
    <w:p>
      <w:pPr>
        <w:spacing w:after="140" w:before="0" w:line="276"/>
        <w:jc w:val="both"/>
      </w:pPr>
      <w:r>
        <w:rPr>
          <w:rFonts w:ascii="Calibri" w:cs="Calibri" w:eastAsia="Calibri" w:hAnsi="Calibri"/>
          <w:b/>
          <w:bCs/>
          <w:sz w:val="21"/>
          <w:szCs w:val="21"/>
        </w:rPr>
        <w:t xml:space="preserve">[OPEN WITH WHAT THE EMPLOYEE ACTUALLY DID. Two or three specific sentences — a project delivered, a problem solved, a standard raised. Generic praise reads as filler and undercuts the news that follows.]</w:t>
      </w:r>
    </w:p>
    <w:p>
      <w:pPr>
        <w:spacing w:after="120" w:before="0" w:line="276"/>
        <w:jc w:val="both"/>
      </w:pPr>
      <w:r>
        <w:rPr>
          <w:rFonts w:ascii="Calibri" w:cs="Calibri" w:eastAsia="Calibri" w:hAnsi="Calibri"/>
          <w:b/>
          <w:bCs/>
          <w:sz w:val="21"/>
          <w:szCs w:val="21"/>
        </w:rPr>
        <w:t xml:space="preserve">[Where a promotion applies]</w:t>
      </w:r>
      <w:r>
        <w:rPr>
          <w:rFonts w:ascii="Calibri" w:cs="Calibri" w:eastAsia="Calibri" w:hAnsi="Calibri"/>
          <w:sz w:val="21"/>
          <w:szCs w:val="21"/>
        </w:rPr>
        <w:t xml:space="preserve"> I am pleased to tell you that you are promoted to </w:t>
      </w:r>
      <w:r>
        <w:rPr>
          <w:rFonts w:ascii="Calibri" w:cs="Calibri" w:eastAsia="Calibri" w:hAnsi="Calibri"/>
          <w:b/>
          <w:bCs/>
          <w:sz w:val="21"/>
          <w:szCs w:val="21"/>
        </w:rPr>
        <w:t xml:space="preserve">[NEW JOB TITLE]</w:t>
      </w:r>
      <w:r>
        <w:rPr>
          <w:rFonts w:ascii="Calibri" w:cs="Calibri" w:eastAsia="Calibri" w:hAnsi="Calibri"/>
          <w:sz w:val="21"/>
          <w:szCs w:val="21"/>
        </w:rPr>
        <w:t xml:space="preserv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reporting to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Your remuneration is revised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as follows.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120"/>
        <w:gridCol w:w="2120"/>
        <w:gridCol w:w="212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Current (S$ per month)</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Revised (S$ per month)</w:t>
            </w:r>
          </w:p>
        </w:tc>
        <w:tc>
          <w:tcPr>
            <w:tcW w:type="dxa" w:w="212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Change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 salary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 — name it]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 — name it]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monthly salary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bonus at full achievement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r>
              <w:rPr>
                <w:rFonts w:ascii="Calibri" w:cs="Calibri" w:eastAsia="Calibri" w:hAnsi="Calibri"/>
                <w:sz w:val="18"/>
                <w:szCs w:val="18"/>
              </w:rPr>
              <w:t xml:space="preserve"> p.a.</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r>
              <w:rPr>
                <w:rFonts w:ascii="Calibri" w:cs="Calibri" w:eastAsia="Calibri" w:hAnsi="Calibri"/>
                <w:b/>
                <w:bCs/>
                <w:sz w:val="18"/>
                <w:szCs w:val="18"/>
              </w:rPr>
              <w:t xml:space="preserve"> p.a.</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Wage Supplement]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Central Provident Fund contribution</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 (annual)</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__%]</w:t>
            </w:r>
          </w:p>
        </w:tc>
      </w:tr>
    </w:tbl>
    <w:p>
      <w:pPr>
        <w:spacing w:after="140"/>
      </w:pPr>
    </w:p>
    <w:p>
      <w:pPr>
        <w:spacing w:after="100" w:before="0" w:line="276"/>
        <w:jc w:val="both"/>
      </w:pPr>
      <w:r>
        <w:rPr>
          <w:rFonts w:ascii="Calibri" w:cs="Calibri" w:eastAsia="Calibri" w:hAnsi="Calibri"/>
          <w:b/>
          <w:bCs/>
          <w:sz w:val="21"/>
          <w:szCs w:val="21"/>
        </w:rPr>
        <w:t xml:space="preserve">[Where other terms change]</w:t>
      </w:r>
      <w:r>
        <w:rPr>
          <w:rFonts w:ascii="Calibri" w:cs="Calibri" w:eastAsia="Calibri" w:hAnsi="Calibri"/>
          <w:sz w:val="21"/>
          <w:szCs w:val="21"/>
        </w:rPr>
        <w:t xml:space="preserve"> </w:t>
      </w:r>
      <w:r>
        <w:rPr>
          <w:rFonts w:ascii="Calibri" w:cs="Calibri" w:eastAsia="Calibri" w:hAnsi="Calibri"/>
          <w:b/>
          <w:bCs/>
          <w:sz w:val="21"/>
          <w:szCs w:val="21"/>
        </w:rPr>
        <w:t xml:space="preserve">Other changes.</w:t>
      </w:r>
      <w:r>
        <w:rPr>
          <w:rFonts w:ascii="Calibri" w:cs="Calibri" w:eastAsia="Calibri" w:hAnsi="Calibri"/>
          <w:sz w:val="21"/>
          <w:szCs w:val="21"/>
        </w:rPr>
        <w:t xml:space="preserve"> The following also change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891"/>
        <w:gridCol w:w="3471"/>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Current</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Revised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to</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Principal responsibilities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 reports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Act Part IV coverage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[Covered / Not covered]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[Covered / Not covered]</w:t>
            </w:r>
            <w:r>
              <w:rPr>
                <w:rFonts w:ascii="Calibri" w:cs="Calibri" w:eastAsia="Calibri" w:hAnsi="Calibri"/>
                <w:sz w:val="18"/>
                <w:szCs w:val="18"/>
              </w:rPr>
              <w:t xml:space="preserve"> — </w:t>
            </w:r>
            <w:r>
              <w:rPr>
                <w:rFonts w:ascii="Calibri" w:cs="Calibri" w:eastAsia="Calibri" w:hAnsi="Calibri"/>
                <w:i/>
                <w:iCs/>
                <w:sz w:val="18"/>
                <w:szCs w:val="18"/>
              </w:rPr>
              <w:t xml:space="preserve">see the notes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leave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[Approval authority or signing limits]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benefit]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40"/>
      </w:pPr>
    </w:p>
    <w:p>
      <w:pPr>
        <w:spacing w:after="120" w:before="0" w:line="276"/>
        <w:jc w:val="both"/>
      </w:pPr>
      <w:r>
        <w:rPr>
          <w:rFonts w:ascii="Calibri" w:cs="Calibri" w:eastAsia="Calibri" w:hAnsi="Calibri"/>
          <w:b/>
          <w:bCs/>
          <w:sz w:val="21"/>
          <w:szCs w:val="21"/>
        </w:rPr>
        <w:t xml:space="preserve">[Where equity is granted]</w:t>
      </w:r>
      <w:r>
        <w:rPr>
          <w:rFonts w:ascii="Calibri" w:cs="Calibri" w:eastAsia="Calibri" w:hAnsi="Calibri"/>
          <w:sz w:val="21"/>
          <w:szCs w:val="21"/>
        </w:rPr>
        <w:t xml:space="preserve"> You will also be granted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[options / share awards]</w:t>
      </w:r>
      <w:r>
        <w:rPr>
          <w:rFonts w:ascii="Calibri" w:cs="Calibri" w:eastAsia="Calibri" w:hAnsi="Calibri"/>
          <w:sz w:val="21"/>
          <w:szCs w:val="21"/>
        </w:rPr>
        <w:t xml:space="preserve"> under the Company’s employee share scheme, subject to the rules of the scheme and to a separate grant letter.</w:t>
      </w:r>
    </w:p>
    <w:p>
      <w:pPr>
        <w:spacing w:after="120" w:before="0" w:line="276"/>
        <w:jc w:val="both"/>
      </w:pPr>
      <w:r>
        <w:rPr>
          <w:rFonts w:ascii="Calibri" w:cs="Calibri" w:eastAsia="Calibri" w:hAnsi="Calibri"/>
          <w:b/>
          <w:bCs/>
          <w:sz w:val="21"/>
          <w:szCs w:val="21"/>
        </w:rPr>
        <w:t xml:space="preserve">[Where covenants are refreshed]</w:t>
      </w:r>
      <w:r>
        <w:rPr>
          <w:rFonts w:ascii="Calibri" w:cs="Calibri" w:eastAsia="Calibri" w:hAnsi="Calibri"/>
          <w:sz w:val="21"/>
          <w:szCs w:val="21"/>
        </w:rPr>
        <w:t xml:space="preserve"> Because your role and access change, an updated restrictive covenant agreement is enclosed. Please read it, take advice if you wish, and return a signed copy. This revision is conditional on your doing so.</w:t>
      </w:r>
    </w:p>
    <w:p>
      <w:pPr>
        <w:spacing w:after="120" w:before="0" w:line="276"/>
        <w:jc w:val="both"/>
      </w:pPr>
      <w:r>
        <w:rPr>
          <w:rFonts w:ascii="Calibri" w:cs="Calibri" w:eastAsia="Calibri" w:hAnsi="Calibri"/>
          <w:sz w:val="21"/>
          <w:szCs w:val="21"/>
        </w:rPr>
        <w:t xml:space="preserve">All other terms of your contract of employment and key employment terms are unchanged. This letter forms part of your key employment terms.</w:t>
      </w:r>
    </w:p>
    <w:p>
      <w:pPr>
        <w:spacing w:after="140" w:before="0" w:line="276"/>
        <w:jc w:val="both"/>
      </w:pPr>
      <w:r>
        <w:rPr>
          <w:rFonts w:ascii="Calibri" w:cs="Calibri" w:eastAsia="Calibri" w:hAnsi="Calibri"/>
          <w:b/>
          <w:bCs/>
          <w:sz w:val="21"/>
          <w:szCs w:val="21"/>
        </w:rPr>
        <w:t xml:space="preserve">[WHERE THE INCREASE IS BELOW EXPECTATION OR NIL, SAY SO DIRECTLY AND EXPLAIN THE BASIS. An unexplained small number does more damage than a candid conversation.]</w:t>
      </w:r>
    </w:p>
    <w:p>
      <w:pPr>
        <w:spacing w:after="180" w:before="0" w:line="276"/>
        <w:jc w:val="both"/>
      </w:pPr>
      <w:r>
        <w:rPr>
          <w:rFonts w:ascii="Calibri" w:cs="Calibri" w:eastAsia="Calibri" w:hAnsi="Calibri"/>
          <w:sz w:val="21"/>
          <w:szCs w:val="21"/>
        </w:rPr>
        <w:t xml:space="preserve">Thank you for your work this year.</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Revision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 for the revision recorded — performance, market, promotion or role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Outcome reviewed across the team for consistency and any pattern by protected characteristic</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at the required level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Letter issued </w:t>
            </w:r>
            <w:r>
              <w:rPr>
                <w:rFonts w:ascii="Calibri" w:cs="Calibri" w:eastAsia="Calibri" w:hAnsi="Calibri"/>
                <w:b/>
                <w:bCs/>
                <w:sz w:val="19"/>
                <w:szCs w:val="19"/>
              </w:rPr>
              <w:t xml:space="preserve">in writing</w:t>
            </w:r>
            <w:r>
              <w:rPr>
                <w:rFonts w:ascii="Calibri" w:cs="Calibri" w:eastAsia="Calibri" w:hAnsi="Calibri"/>
                <w:sz w:val="19"/>
                <w:szCs w:val="19"/>
              </w:rPr>
              <w:t xml:space="preserve"> — a change to key employment terms must be notified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role changes, Part IV coverage reassessed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role changes, overtime eligibility reassessed and communicated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Restrictive covenants reviewed for the new role; fresh consideration given if varied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 updated from the effective date, including any arrears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Central Provident Fund recomputed — Ordinary Wage ceiling and Additional Wage ceiling impact checked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employee holds a work pass, salary change assessed against pass requirements and notified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Itemised payslip reflects the revised components individually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acknowledgement filed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Revision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542"/>
        <w:gridCol w:w="1252"/>
        <w:gridCol w:w="1156"/>
        <w:gridCol w:w="963"/>
        <w:gridCol w:w="1349"/>
        <w:gridCol w:w="963"/>
        <w:gridCol w:w="1156"/>
        <w:gridCol w:w="872"/>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Employee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Current salary</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Revised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Increase %</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Rating</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Approved by</w:t>
            </w:r>
          </w:p>
        </w:tc>
        <w:tc>
          <w:tcPr>
            <w:tcW w:type="dxa" w:w="87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Effective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 / average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349"/>
            <w:tcMar>
              <w:top w:type="dxa" w:w="70"/>
              <w:left w:type="dxa" w:w="100"/>
              <w:bottom w:type="dxa" w:w="70"/>
              <w:right w:type="dxa" w:w="100"/>
            </w:tcMar>
            <w:vAlign w:val="center"/>
          </w:tcPr>
          <w:p>
            <w:pPr>
              <w:spacing w:after="0" w:line="240"/>
              <w:jc w:val="left"/>
            </w:pPr>
          </w:p>
        </w:tc>
        <w:tc>
          <w:tcPr>
            <w:tcW w:type="dxa" w:w="963"/>
            <w:tcMar>
              <w:top w:type="dxa" w:w="70"/>
              <w:left w:type="dxa" w:w="100"/>
              <w:bottom w:type="dxa" w:w="70"/>
              <w:right w:type="dxa" w:w="100"/>
            </w:tcMar>
            <w:vAlign w:val="center"/>
          </w:tcPr>
          <w:p>
            <w:pPr>
              <w:spacing w:after="0" w:line="240"/>
              <w:jc w:val="left"/>
            </w:pPr>
          </w:p>
        </w:tc>
        <w:tc>
          <w:tcPr>
            <w:tcW w:type="dxa" w:w="1156"/>
            <w:tcMar>
              <w:top w:type="dxa" w:w="70"/>
              <w:left w:type="dxa" w:w="100"/>
              <w:bottom w:type="dxa" w:w="70"/>
              <w:right w:type="dxa" w:w="100"/>
            </w:tcMar>
            <w:vAlign w:val="center"/>
          </w:tcPr>
          <w:p>
            <w:pPr>
              <w:spacing w:after="0" w:line="240"/>
              <w:jc w:val="left"/>
            </w:pPr>
          </w:p>
        </w:tc>
        <w:tc>
          <w:tcPr>
            <w:tcW w:type="dxa" w:w="872"/>
            <w:tcMar>
              <w:top w:type="dxa" w:w="70"/>
              <w:left w:type="dxa" w:w="100"/>
              <w:bottom w:type="dxa" w:w="70"/>
              <w:right w:type="dxa" w:w="100"/>
            </w:tcMar>
            <w:vAlign w:val="center"/>
          </w:tcPr>
          <w:p>
            <w:pPr>
              <w:spacing w:after="0" w:line="240"/>
              <w:jc w:val="left"/>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pay change is a change to key employment terms</w:t>
      </w:r>
    </w:p>
    <w:p>
      <w:pPr>
        <w:spacing w:after="60" w:line="264"/>
        <w:jc w:val="both"/>
      </w:pPr>
      <w:r>
        <w:rPr>
          <w:rFonts w:ascii="Calibri" w:cs="Calibri" w:eastAsia="Calibri" w:hAnsi="Calibri"/>
          <w:sz w:val="19"/>
          <w:szCs w:val="19"/>
        </w:rPr>
        <w:t xml:space="preserve">Salary, allowances and any other prescribed particular form part of the key employment terms, and any change must be notified to the employee in writing. A payroll adjustment communicated only by a different figure on the payslip does not satisfy that.</w:t>
      </w:r>
    </w:p>
    <w:p>
      <w:pPr>
        <w:keepNext/>
        <w:spacing w:after="40" w:before="140"/>
      </w:pPr>
      <w:r>
        <w:rPr>
          <w:rFonts w:ascii="Calibri" w:cs="Calibri" w:eastAsia="Calibri" w:hAnsi="Calibri"/>
          <w:b/>
          <w:bCs/>
          <w:color w:val="14161B"/>
          <w:sz w:val="20"/>
          <w:szCs w:val="20"/>
        </w:rPr>
        <w:t xml:space="preserve">Promotion can change Part IV coverage</w:t>
      </w:r>
    </w:p>
    <w:p>
      <w:pPr>
        <w:spacing w:after="60" w:line="264"/>
        <w:jc w:val="both"/>
      </w:pPr>
      <w:r>
        <w:rPr>
          <w:rFonts w:ascii="Calibri" w:cs="Calibri" w:eastAsia="Calibri" w:hAnsi="Calibri"/>
          <w:sz w:val="19"/>
          <w:szCs w:val="19"/>
        </w:rPr>
        <w:t xml:space="preserve">Part IV of the Employment Act, which governs hours of work, rest days and overtime, does not apply to managers and executives, and applies to other employees only up to a prescribed salary. An employee promoted into a managerial role, or above the threshold, may cease to be entitled to overtime pay. That is a material change and should be explained — discovering it on the first payslip after a promotion is a poor experience and a common complaint.</w:t>
      </w:r>
    </w:p>
    <w:p>
      <w:pPr>
        <w:keepNext/>
        <w:spacing w:after="40" w:before="140"/>
      </w:pPr>
      <w:r>
        <w:rPr>
          <w:rFonts w:ascii="Calibri" w:cs="Calibri" w:eastAsia="Calibri" w:hAnsi="Calibri"/>
          <w:b/>
          <w:bCs/>
          <w:color w:val="14161B"/>
          <w:sz w:val="20"/>
          <w:szCs w:val="20"/>
        </w:rPr>
        <w:t xml:space="preserve">Review restrictive covenants on promotion</w:t>
      </w:r>
    </w:p>
    <w:p>
      <w:pPr>
        <w:spacing w:after="60" w:line="264"/>
        <w:jc w:val="both"/>
      </w:pPr>
      <w:r>
        <w:rPr>
          <w:rFonts w:ascii="Calibri" w:cs="Calibri" w:eastAsia="Calibri" w:hAnsi="Calibri"/>
          <w:sz w:val="19"/>
          <w:szCs w:val="19"/>
        </w:rPr>
        <w:t xml:space="preserve">A covenant signed when the employee was junior may not protect the interests they now access; one drafted for a wider role may be unreasonable if the role narrows. Because covenants in Singapore are enforceable only so far as reasonable, and reasonableness is assessed against the role, refreshing them at promotion is the cheapest time to get it right. Where a covenant is varied mid-employment, provide fresh consideration — the promotion or increase itself usually serves.</w:t>
      </w:r>
    </w:p>
    <w:p>
      <w:pPr>
        <w:keepNext/>
        <w:spacing w:after="40" w:before="140"/>
      </w:pPr>
      <w:r>
        <w:rPr>
          <w:rFonts w:ascii="Calibri" w:cs="Calibri" w:eastAsia="Calibri" w:hAnsi="Calibri"/>
          <w:b/>
          <w:bCs/>
          <w:color w:val="14161B"/>
          <w:sz w:val="20"/>
          <w:szCs w:val="20"/>
        </w:rPr>
        <w:t xml:space="preserve">Central Provident Fund effects are not linear</w:t>
      </w:r>
    </w:p>
    <w:p>
      <w:pPr>
        <w:spacing w:after="60" w:line="264"/>
        <w:jc w:val="both"/>
      </w:pPr>
      <w:r>
        <w:rPr>
          <w:rFonts w:ascii="Calibri" w:cs="Calibri" w:eastAsia="Calibri" w:hAnsi="Calibri"/>
          <w:sz w:val="19"/>
          <w:szCs w:val="19"/>
        </w:rPr>
        <w:t xml:space="preserve">An increase in monthly salary may take the employee above the Ordinary Wage ceiling, so contributions do not rise proportionately. It also changes the Additional Wage ceiling for the year, which is computed by reference to total Ordinary Wages. Employers paying a bonus later in the same year frequently get this wrong.</w:t>
      </w:r>
    </w:p>
    <w:p>
      <w:pPr>
        <w:keepNext/>
        <w:spacing w:after="40" w:before="140"/>
      </w:pPr>
      <w:r>
        <w:rPr>
          <w:rFonts w:ascii="Calibri" w:cs="Calibri" w:eastAsia="Calibri" w:hAnsi="Calibri"/>
          <w:b/>
          <w:bCs/>
          <w:color w:val="14161B"/>
          <w:sz w:val="20"/>
          <w:szCs w:val="20"/>
        </w:rPr>
        <w:t xml:space="preserve">Work pass holders: check the salary against the pass</w:t>
      </w:r>
    </w:p>
    <w:p>
      <w:pPr>
        <w:spacing w:after="60" w:line="264"/>
        <w:jc w:val="both"/>
      </w:pPr>
      <w:r>
        <w:rPr>
          <w:rFonts w:ascii="Calibri" w:cs="Calibri" w:eastAsia="Calibri" w:hAnsi="Calibri"/>
          <w:sz w:val="19"/>
          <w:szCs w:val="19"/>
        </w:rPr>
        <w:t xml:space="preserve">For pass holders, salary is not merely a commercial matter. A material change may need to be notified, and qualifying salaries rise with age and differ by sector. A change that takes the salary out of line with the pass requirements, in either direction, needs checking before the letter is issued.</w:t>
      </w:r>
    </w:p>
    <w:p>
      <w:pPr>
        <w:keepNext/>
        <w:spacing w:after="40" w:before="140"/>
      </w:pPr>
      <w:r>
        <w:rPr>
          <w:rFonts w:ascii="Calibri" w:cs="Calibri" w:eastAsia="Calibri" w:hAnsi="Calibri"/>
          <w:b/>
          <w:bCs/>
          <w:color w:val="14161B"/>
          <w:sz w:val="20"/>
          <w:szCs w:val="20"/>
        </w:rPr>
        <w:t xml:space="preserve">Review the outcomes across the team, not just the individual</w:t>
      </w:r>
    </w:p>
    <w:p>
      <w:pPr>
        <w:spacing w:after="60" w:line="264"/>
        <w:jc w:val="both"/>
      </w:pPr>
      <w:r>
        <w:rPr>
          <w:rFonts w:ascii="Calibri" w:cs="Calibri" w:eastAsia="Calibri" w:hAnsi="Calibri"/>
          <w:sz w:val="19"/>
          <w:szCs w:val="19"/>
        </w:rPr>
        <w:t xml:space="preserve">Increment decisions are individually reasonable and collectively revealing. Where outcomes correlate with age, nationality, pregnancy, caregiving responsibilities or a period of family leave, that is the pattern most likely to produce a complaint — and the Workplace Fairness Act will make it actionable when it commences. Annexure B exists so the pattern is visible before the letters go out, not after.</w:t>
      </w:r>
    </w:p>
    <w:p>
      <w:pPr>
        <w:keepNext/>
        <w:spacing w:after="40" w:before="140"/>
      </w:pPr>
      <w:r>
        <w:rPr>
          <w:rFonts w:ascii="Calibri" w:cs="Calibri" w:eastAsia="Calibri" w:hAnsi="Calibri"/>
          <w:b/>
          <w:bCs/>
          <w:color w:val="14161B"/>
          <w:sz w:val="20"/>
          <w:szCs w:val="20"/>
        </w:rPr>
        <w:t xml:space="preserve">Employees on family leave or flexible arrangements</w:t>
      </w:r>
    </w:p>
    <w:p>
      <w:pPr>
        <w:spacing w:after="60" w:line="264"/>
        <w:jc w:val="both"/>
      </w:pPr>
      <w:r>
        <w:rPr>
          <w:rFonts w:ascii="Calibri" w:cs="Calibri" w:eastAsia="Calibri" w:hAnsi="Calibri"/>
          <w:sz w:val="19"/>
          <w:szCs w:val="19"/>
        </w:rPr>
        <w:t xml:space="preserve">Excluding someone from a review because they were on maternity, paternity or shared parental leave during the period, or reducing an outcome because they work flexibly, is precisely the risk. Assess them on the same basis, pro-rating output where genuinely appropriate rather than penalising the absence itself.</w:t>
      </w:r>
    </w:p>
    <w:p>
      <w:pPr>
        <w:keepNext/>
        <w:spacing w:after="40" w:before="140"/>
      </w:pPr>
      <w:r>
        <w:rPr>
          <w:rFonts w:ascii="Calibri" w:cs="Calibri" w:eastAsia="Calibri" w:hAnsi="Calibri"/>
          <w:b/>
          <w:bCs/>
          <w:color w:val="14161B"/>
          <w:sz w:val="20"/>
          <w:szCs w:val="20"/>
        </w:rPr>
        <w:t xml:space="preserve">Say something real, or say nothing</w:t>
      </w:r>
    </w:p>
    <w:p>
      <w:pPr>
        <w:spacing w:after="60" w:line="264"/>
        <w:jc w:val="both"/>
      </w:pPr>
      <w:r>
        <w:rPr>
          <w:rFonts w:ascii="Calibri" w:cs="Calibri" w:eastAsia="Calibri" w:hAnsi="Calibri"/>
          <w:sz w:val="19"/>
          <w:szCs w:val="19"/>
        </w:rPr>
        <w:t xml:space="preserve">The opening paragraph is drafted to require specifics. A letter that says the employee has been "a valued member of the team" alongside a two per cent increase reads as a form letter and is remembered as one.</w:t>
      </w:r>
    </w:p>
    <w:p>
      <w:pPr>
        <w:keepNext/>
        <w:spacing w:after="40" w:before="140"/>
      </w:pPr>
      <w:r>
        <w:rPr>
          <w:rFonts w:ascii="Calibri" w:cs="Calibri" w:eastAsia="Calibri" w:hAnsi="Calibri"/>
          <w:b/>
          <w:bCs/>
          <w:color w:val="14161B"/>
          <w:sz w:val="20"/>
          <w:szCs w:val="20"/>
        </w:rPr>
        <w:t xml:space="preserve">Explain a low or nil increase</w:t>
      </w:r>
    </w:p>
    <w:p>
      <w:pPr>
        <w:spacing w:after="60" w:line="264"/>
        <w:jc w:val="both"/>
      </w:pPr>
      <w:r>
        <w:rPr>
          <w:rFonts w:ascii="Calibri" w:cs="Calibri" w:eastAsia="Calibri" w:hAnsi="Calibri"/>
          <w:sz w:val="19"/>
          <w:szCs w:val="19"/>
        </w:rPr>
        <w:t xml:space="preserve">The instinct is to send a bare number and avoid the conversation. It does not work — the employee draws their own conclusion, usually a worse one than the truth. Where the constraint is business performance rather than individual performance, say that plainly.</w:t>
      </w:r>
    </w:p>
    <w:p>
      <w:pPr>
        <w:keepNext/>
        <w:spacing w:after="40" w:before="140"/>
      </w:pPr>
      <w:r>
        <w:rPr>
          <w:rFonts w:ascii="Calibri" w:cs="Calibri" w:eastAsia="Calibri" w:hAnsi="Calibri"/>
          <w:b/>
          <w:bCs/>
          <w:color w:val="14161B"/>
          <w:sz w:val="20"/>
          <w:szCs w:val="20"/>
        </w:rPr>
        <w:t xml:space="preserve">Backdating needs arrears</w:t>
      </w:r>
    </w:p>
    <w:p>
      <w:pPr>
        <w:spacing w:after="60" w:line="264"/>
        <w:jc w:val="both"/>
      </w:pPr>
      <w:r>
        <w:rPr>
          <w:rFonts w:ascii="Calibri" w:cs="Calibri" w:eastAsia="Calibri" w:hAnsi="Calibri"/>
          <w:sz w:val="19"/>
          <w:szCs w:val="19"/>
        </w:rPr>
        <w:t xml:space="preserve">Where the effective date precedes the letter, the arrears must be paid, and the Central Provident Fund contributions on them must be made for the correct months. Paying a lump sum in the current month without allocating it correctly creates a contribution discrepancy.</w:t>
      </w:r>
    </w:p>
    <w:p>
      <w:pPr>
        <w:keepNext/>
        <w:spacing w:after="40" w:before="140"/>
      </w:pPr>
      <w:r>
        <w:rPr>
          <w:rFonts w:ascii="Calibri" w:cs="Calibri" w:eastAsia="Calibri" w:hAnsi="Calibri"/>
          <w:b/>
          <w:bCs/>
          <w:color w:val="14161B"/>
          <w:sz w:val="20"/>
          <w:szCs w:val="20"/>
        </w:rPr>
        <w:t xml:space="preserve">Equity grants are separate documents</w:t>
      </w:r>
    </w:p>
    <w:p>
      <w:pPr>
        <w:spacing w:after="60" w:line="264"/>
        <w:jc w:val="both"/>
      </w:pPr>
      <w:r>
        <w:rPr>
          <w:rFonts w:ascii="Calibri" w:cs="Calibri" w:eastAsia="Calibri" w:hAnsi="Calibri"/>
          <w:sz w:val="19"/>
          <w:szCs w:val="19"/>
        </w:rPr>
        <w:t xml:space="preserve">Where a promotion carries an option or share award, the grant is made under the scheme rules with its own grant letter, and the tax treatment differs from cash. Mentioning it in the revision letter is helpful; documenting it there is not.</w:t>
      </w:r>
    </w:p>
    <w:p>
      <w:pPr>
        <w:keepNext/>
        <w:spacing w:after="40" w:before="140"/>
      </w:pPr>
      <w:r>
        <w:rPr>
          <w:rFonts w:ascii="Calibri" w:cs="Calibri" w:eastAsia="Calibri" w:hAnsi="Calibri"/>
          <w:b/>
          <w:bCs/>
          <w:color w:val="14161B"/>
          <w:sz w:val="20"/>
          <w:szCs w:val="20"/>
        </w:rPr>
        <w:t xml:space="preserve">Update the payslip components individually</w:t>
      </w:r>
    </w:p>
    <w:p>
      <w:pPr>
        <w:spacing w:after="60" w:line="264"/>
        <w:jc w:val="both"/>
      </w:pPr>
      <w:r>
        <w:rPr>
          <w:rFonts w:ascii="Calibri" w:cs="Calibri" w:eastAsia="Calibri" w:hAnsi="Calibri"/>
          <w:sz w:val="19"/>
          <w:szCs w:val="19"/>
        </w:rPr>
        <w:t xml:space="preserve">Where allowances change, each must continue to be itemised individually on the payslip. Rolling several revised allowances into one line to simplify the change is a payslip defect.</w:t>
      </w:r>
    </w:p>
    <w:p>
      <w:pPr>
        <w:keepNext/>
        <w:spacing w:after="40" w:before="140"/>
      </w:pPr>
      <w:r>
        <w:rPr>
          <w:rFonts w:ascii="Calibri" w:cs="Calibri" w:eastAsia="Calibri" w:hAnsi="Calibri"/>
          <w:b/>
          <w:bCs/>
          <w:color w:val="14161B"/>
          <w:sz w:val="20"/>
          <w:szCs w:val="20"/>
        </w:rPr>
        <w:t xml:space="preserve">Keep the acknowledgement</w:t>
      </w:r>
    </w:p>
    <w:p>
      <w:pPr>
        <w:spacing w:after="60" w:line="264"/>
        <w:jc w:val="both"/>
      </w:pPr>
      <w:r>
        <w:rPr>
          <w:rFonts w:ascii="Calibri" w:cs="Calibri" w:eastAsia="Calibri" w:hAnsi="Calibri"/>
          <w:sz w:val="19"/>
          <w:szCs w:val="19"/>
        </w:rPr>
        <w:t xml:space="preserve">A signed acknowledgement puts beyond doubt that the revised terms were communicated and accepted, which matters most where the change is not purely favourable — a role change, a shift in Part IV coverage, or a new covenant.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Part IV salary thresholds, Central Provident Fund ceilings and rates, and work pass qualifying salaries all change — confirm each before a revision cycle, and note that a review of the Employment Act is under way with proposals expected in the second half of 2026.</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2026-08-22T06:55:29.168Z</dcterms:created>
  <dcterms:modified xsi:type="dcterms:W3CDTF">2026-08-22T06:55:29.168Z</dcterms:modified>
</cp:coreProperties>
</file>

<file path=docProps/custom.xml><?xml version="1.0" encoding="utf-8"?>
<Properties xmlns="http://schemas.openxmlformats.org/officeDocument/2006/custom-properties" xmlns:vt="http://schemas.openxmlformats.org/officeDocument/2006/docPropsVTypes"/>
</file>