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INCORPORATION</w:t>
      </w:r>
    </w:p>
    <w:p>
      <w:pPr>
        <w:spacing w:after="260"/>
        <w:jc w:val="center"/>
      </w:pPr>
      <w:r>
        <w:rPr>
          <w:rFonts w:ascii="Calibri" w:cs="Calibri" w:eastAsia="Calibri" w:hAnsi="Calibri"/>
          <w:i/>
          <w:iCs/>
          <w:color w:val="6E7480"/>
          <w:sz w:val="19"/>
          <w:szCs w:val="19"/>
        </w:rPr>
        <w:t xml:space="preserve">Setting up a Singapore company</w:t>
      </w:r>
    </w:p>
    <w:p>
      <w:pPr>
        <w:spacing w:after="180" w:before="0" w:line="276"/>
        <w:jc w:val="both"/>
      </w:pPr>
      <w:r>
        <w:rPr>
          <w:rFonts w:ascii="Calibri" w:cs="Calibri" w:eastAsia="Calibri" w:hAnsi="Calibri"/>
          <w:i/>
          <w:iCs/>
          <w:color w:val="6E7480"/>
          <w:sz w:val="21"/>
          <w:szCs w:val="21"/>
        </w:rPr>
        <w:t xml:space="preserve">Incorporation itself takes hours. What catches people out is everything that becomes due immediately afterwards: a company secretary within six months, a resident director from day one, registers to establish, and a first financial year end that quietly determines every filing deadline for years to come.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Proposed name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b/>
                <w:bCs/>
                <w:sz w:val="19"/>
                <w:szCs w:val="19"/>
              </w:rPr>
              <w:t xml:space="preserve"> PTE. LTD.</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 type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[Private company limited by shares / Exempt private company]</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Principal activity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w:t>
            </w:r>
            <w:r>
              <w:rPr>
                <w:rFonts w:ascii="Calibri" w:cs="Calibri" w:eastAsia="Calibri" w:hAnsi="Calibri"/>
                <w:sz w:val="19"/>
                <w:szCs w:val="19"/>
              </w:rPr>
              <w:t xml:space="preserve"> — SSIC code </w:t>
            </w:r>
            <w:r>
              <w:rPr>
                <w:rFonts w:ascii="Calibri" w:cs="Calibri" w:eastAsia="Calibri" w:hAnsi="Calibri"/>
                <w:b/>
                <w:bCs/>
                <w:sz w:val="19"/>
                <w:szCs w:val="19"/>
              </w:rPr>
              <w:t xml:space="preserve">[CODE]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Registered office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Financial year end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w:t>
            </w:r>
            <w:r>
              <w:rPr>
                <w:rFonts w:ascii="Calibri" w:cs="Calibri" w:eastAsia="Calibri" w:hAnsi="Calibri"/>
                <w:i/>
                <w:iCs/>
                <w:sz w:val="19"/>
                <w:szCs w:val="19"/>
              </w:rPr>
              <w:t xml:space="preserve">see the notes; this decision has long consequences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Initial share capital</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ordinary shares for </w:t>
            </w: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Directors at incorporation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Ordinarily resident director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 mandatory from incorporation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Shareholders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 secretary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 </w:t>
            </w:r>
            <w:r>
              <w:rPr>
                <w:rFonts w:ascii="Calibri" w:cs="Calibri" w:eastAsia="Calibri" w:hAnsi="Calibri"/>
                <w:b/>
                <w:bCs/>
                <w:sz w:val="19"/>
                <w:szCs w:val="19"/>
              </w:rPr>
              <w:t xml:space="preserve">within 6 months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Constitution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[Model Constitution / Bespoke — see the notes]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Incorporated 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bl>
    <w:p>
      <w:pPr>
        <w:spacing w:after="180"/>
      </w:pPr>
    </w:p>
    <w:p>
      <w:pPr>
        <w:keepNext/>
        <w:spacing w:after="120" w:before="280"/>
        <w:outlineLvl w:val="0"/>
      </w:pPr>
      <w:r>
        <w:rPr>
          <w:rFonts w:ascii="Calibri" w:cs="Calibri" w:eastAsia="Calibri" w:hAnsi="Calibri"/>
          <w:b/>
          <w:bCs/>
          <w:color w:val="14161B"/>
          <w:sz w:val="22"/>
          <w:szCs w:val="22"/>
        </w:rPr>
        <w:t xml:space="preserve">1. BEFORE INCORPORATING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734"/>
        <w:gridCol w:w="3084"/>
        <w:gridCol w:w="4435"/>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Decision</w:t>
            </w:r>
          </w:p>
        </w:tc>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Options</w:t>
            </w:r>
          </w:p>
        </w:tc>
        <w:tc>
          <w:tcPr>
            <w:tcW w:type="dxa" w:w="443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Name</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Check availability and reserve</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Names too similar to existing ones, or suggesting government connection, are refused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Entity type</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[Private company / LLP / Sole proprietorship / Branch]</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company gives limited liability and is what investors expect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Resident director</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founder who qualifies, or an appointed one</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At least one director ordinarily resident in Singapore, continuously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 capital</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 amount — no minimum</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S$1 is possible; a token amount can look odd to banks and counterparties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 classes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Ordinary only, or classes from the outset</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Adding preference classes later requires a constitutional amendment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Constitution</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Model or bespoke</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Model applies by default if none is registered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Financial year end</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 date</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Determines every filing deadline — see the notes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Registered office</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Own premises or a service provider</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Must be accessible to the public for the required hours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Corporate service provider</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Which firm, and what the package covers</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whether controller verification notices are included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Founder arrangements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Founders’ agreement and vesting</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Far easier before incorporation than after</w:t>
            </w:r>
          </w:p>
        </w:tc>
      </w:tr>
    </w:tbl>
    <w:p>
      <w:pPr>
        <w:spacing w:after="160"/>
      </w:pPr>
    </w:p>
    <w:p>
      <w:pPr>
        <w:keepNext/>
        <w:spacing w:after="120" w:before="280"/>
        <w:outlineLvl w:val="0"/>
      </w:pPr>
      <w:r>
        <w:rPr>
          <w:rFonts w:ascii="Calibri" w:cs="Calibri" w:eastAsia="Calibri" w:hAnsi="Calibri"/>
          <w:b/>
          <w:bCs/>
          <w:color w:val="14161B"/>
          <w:sz w:val="22"/>
          <w:szCs w:val="22"/>
        </w:rPr>
        <w:t xml:space="preserve">2. INCORPORATION DOCUMENTS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Held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Name application approved and reserved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Constitution — Model adopted, or bespoke settled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Consent to act as director from each director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Confirmation that no director is disqualified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Identification and residential address for each director and shareholder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Proof of the registered office address and consent to use it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 subscription details — who takes how many, at what price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Beneficial ownership information for the controllers register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Whether any director or shareholder is a nominee, and the nominator’s details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Founders’ agreement signed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spacing w:after="160"/>
      </w:pPr>
    </w:p>
    <w:p>
      <w:pPr>
        <w:keepNext/>
        <w:spacing w:after="120" w:before="280"/>
        <w:outlineLvl w:val="0"/>
      </w:pPr>
      <w:r>
        <w:rPr>
          <w:rFonts w:ascii="Calibri" w:cs="Calibri" w:eastAsia="Calibri" w:hAnsi="Calibri"/>
          <w:b/>
          <w:bCs/>
          <w:color w:val="14161B"/>
          <w:sz w:val="22"/>
          <w:szCs w:val="22"/>
        </w:rPr>
        <w:t xml:space="preserve">3. FIRST NINETY DAYS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433"/>
        <w:gridCol w:w="2120"/>
        <w:gridCol w:w="1156"/>
        <w:gridCol w:w="1544"/>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Task</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Deadline</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Owner</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Done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Certificate of incorporation and business profile obtained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On incorporation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[CoSec]</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First board meeting held — or first written resolution passed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Week 1</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[Board]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Register of registrable controllers established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Within the prescribed period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[CoSec]</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4</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Controller notices sent and responses recorded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Promptly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[CoSec]</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5</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Central register filing made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Within the prescribed period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[CoSec]</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6</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Registers of nominee directors and shareholders established where applicable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On incorporation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[CoSec]</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7</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Statutory registers and minute book set up</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Week 1</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[CoSec]</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8</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Company secretary appointed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Within 6 months</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[Board]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9</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Bank account opened; mandate and signatories resolved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Weeks 2–8</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[Finance]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10</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Share capital paid in and recorded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Promptly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[Finance]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Accounting system set up; reporting framework chosen</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Month 1</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[Finance]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GST registration assessed — compulsory threshold and voluntary option</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Month 1</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[Finance]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13</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Employment documents prepared — KETs, contracts, payslip process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Before first hire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14</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CPF employer account and payroll set up</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Before first payroll</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[Payroll]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15</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Work pass applications where foreign hires are planned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Before hiring</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16</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Data Protection Officer appointed and contact published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Month 1</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[Board]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17</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Insurance arranged — work injury, public liability, directors and officers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Before operating</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[Finance]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18</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Licences and permits for the activity obtained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Before operating</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[Admin]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19</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Founder vesting and IP assignment documented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Month 1</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[Board]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20</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First financial year end confirmed and filing calendar built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Month 1</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[CoSec]</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FIRST BOARD RESOLUTIONS</w:t>
      </w:r>
    </w:p>
    <w:p>
      <w:pPr>
        <w:spacing w:after="80" w:before="0" w:line="276"/>
        <w:jc w:val="both"/>
      </w:pPr>
      <w:r>
        <w:rPr>
          <w:rFonts w:ascii="Calibri" w:cs="Calibri" w:eastAsia="Calibri" w:hAnsi="Calibri"/>
          <w:b/>
          <w:bCs/>
          <w:sz w:val="21"/>
          <w:szCs w:val="21"/>
        </w:rPr>
        <w:t xml:space="preserve">IT WAS RESOLVED THAT</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certificate of incorporation be noted and the constitution be adopted as the constitution of the Company;</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b/>
          <w:bCs/>
          <w:sz w:val="21"/>
          <w:szCs w:val="21"/>
        </w:rPr>
        <w:t xml:space="preserve">[NAME]</w:t>
      </w:r>
      <w:r>
        <w:rPr>
          <w:rFonts w:ascii="Calibri" w:cs="Calibri" w:eastAsia="Calibri" w:hAnsi="Calibri"/>
          <w:sz w:val="21"/>
          <w:szCs w:val="21"/>
        </w:rPr>
        <w:t xml:space="preserve"> be appointed Chairperson of the Board;</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b/>
          <w:bCs/>
          <w:sz w:val="21"/>
          <w:szCs w:val="21"/>
        </w:rPr>
        <w:t xml:space="preserve">[NAME]</w:t>
      </w:r>
      <w:r>
        <w:rPr>
          <w:rFonts w:ascii="Calibri" w:cs="Calibri" w:eastAsia="Calibri" w:hAnsi="Calibri"/>
          <w:sz w:val="21"/>
          <w:szCs w:val="21"/>
        </w:rPr>
        <w:t xml:space="preserve"> be appointed Company Secretary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registered office of the Company be at </w:t>
      </w:r>
      <w:r>
        <w:rPr>
          <w:rFonts w:ascii="Calibri" w:cs="Calibri" w:eastAsia="Calibri" w:hAnsi="Calibri"/>
          <w:b/>
          <w:bCs/>
          <w:sz w:val="21"/>
          <w:szCs w:val="21"/>
        </w:rPr>
        <w:t xml:space="preserve">[ADDRESS]</w:t>
      </w:r>
      <w:r>
        <w:rPr>
          <w:rFonts w:ascii="Calibri" w:cs="Calibri" w:eastAsia="Calibri" w:hAnsi="Calibri"/>
          <w:sz w:val="21"/>
          <w:szCs w:val="21"/>
        </w:rPr>
        <w:t xml:space="preserve">, open to the public during the required hours;</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the financial year end of the Company be </w:t>
      </w:r>
      <w:r>
        <w:rPr>
          <w:rFonts w:ascii="Calibri" w:cs="Calibri" w:eastAsia="Calibri" w:hAnsi="Calibri"/>
          <w:b/>
          <w:bCs/>
          <w:sz w:val="21"/>
          <w:szCs w:val="21"/>
        </w:rPr>
        <w:t xml:space="preserve">[DATE]</w:t>
      </w:r>
      <w:r>
        <w:rPr>
          <w:rFonts w:ascii="Calibri" w:cs="Calibri" w:eastAsia="Calibri" w:hAnsi="Calibri"/>
          <w:sz w:val="21"/>
          <w:szCs w:val="21"/>
        </w:rPr>
        <w:t xml:space="preserve">, the first financial period running from incorporation to that date;</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the shares subscribed at incorporation be allotted and issued as recorded, and the register of members be updated;</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a bank account be opened with </w:t>
      </w:r>
      <w:r>
        <w:rPr>
          <w:rFonts w:ascii="Calibri" w:cs="Calibri" w:eastAsia="Calibri" w:hAnsi="Calibri"/>
          <w:b/>
          <w:bCs/>
          <w:sz w:val="21"/>
          <w:szCs w:val="21"/>
        </w:rPr>
        <w:t xml:space="preserve">[BANK]</w:t>
      </w:r>
      <w:r>
        <w:rPr>
          <w:rFonts w:ascii="Calibri" w:cs="Calibri" w:eastAsia="Calibri" w:hAnsi="Calibri"/>
          <w:sz w:val="21"/>
          <w:szCs w:val="21"/>
        </w:rPr>
        <w:t xml:space="preserve"> on the mandate set out separately;</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sz w:val="21"/>
          <w:szCs w:val="21"/>
        </w:rPr>
        <w:t xml:space="preserve">the Company be </w:t>
      </w:r>
      <w:r>
        <w:rPr>
          <w:rFonts w:ascii="Calibri" w:cs="Calibri" w:eastAsia="Calibri" w:hAnsi="Calibri"/>
          <w:b/>
          <w:bCs/>
          <w:sz w:val="21"/>
          <w:szCs w:val="21"/>
        </w:rPr>
        <w:t xml:space="preserve">[registered for GST / not registered for GST at present, the threshold not being met]</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(i)	</w:t>
      </w:r>
      <w:r>
        <w:rPr>
          <w:rFonts w:ascii="Calibri" w:cs="Calibri" w:eastAsia="Calibri" w:hAnsi="Calibri"/>
          <w:b/>
          <w:bCs/>
          <w:sz w:val="21"/>
          <w:szCs w:val="21"/>
        </w:rPr>
        <w:t xml:space="preserve">[NAME]</w:t>
      </w:r>
      <w:r>
        <w:rPr>
          <w:rFonts w:ascii="Calibri" w:cs="Calibri" w:eastAsia="Calibri" w:hAnsi="Calibri"/>
          <w:sz w:val="21"/>
          <w:szCs w:val="21"/>
        </w:rPr>
        <w:t xml:space="preserve"> be appointed Data Protection Officer and their business contact information be published;</w:t>
      </w:r>
    </w:p>
    <w:p>
      <w:pPr>
        <w:spacing w:after="100" w:before="40" w:line="276"/>
        <w:ind w:left="1440" w:hanging="720"/>
        <w:jc w:val="both"/>
      </w:pPr>
      <w:r>
        <w:rPr>
          <w:rFonts w:ascii="Calibri" w:cs="Calibri" w:eastAsia="Calibri" w:hAnsi="Calibri"/>
          <w:sz w:val="21"/>
          <w:szCs w:val="21"/>
        </w:rPr>
        <w:t xml:space="preserve">(j)	</w:t>
      </w:r>
      <w:r>
        <w:rPr>
          <w:rFonts w:ascii="Calibri" w:cs="Calibri" w:eastAsia="Calibri" w:hAnsi="Calibri"/>
          <w:sz w:val="21"/>
          <w:szCs w:val="21"/>
        </w:rPr>
        <w:t xml:space="preserve">the register of registrable controllers be established and the required notices issued;</w:t>
      </w:r>
    </w:p>
    <w:p>
      <w:pPr>
        <w:spacing w:after="100" w:before="40" w:line="276"/>
        <w:ind w:left="1440" w:hanging="720"/>
        <w:jc w:val="both"/>
      </w:pPr>
      <w:r>
        <w:rPr>
          <w:rFonts w:ascii="Calibri" w:cs="Calibri" w:eastAsia="Calibri" w:hAnsi="Calibri"/>
          <w:sz w:val="21"/>
          <w:szCs w:val="21"/>
        </w:rPr>
        <w:t xml:space="preserve">(k)	</w:t>
      </w:r>
      <w:r>
        <w:rPr>
          <w:rFonts w:ascii="Calibri" w:cs="Calibri" w:eastAsia="Calibri" w:hAnsi="Calibri"/>
          <w:sz w:val="21"/>
          <w:szCs w:val="21"/>
        </w:rPr>
        <w:t xml:space="preserve">the Company appoint </w:t>
      </w:r>
      <w:r>
        <w:rPr>
          <w:rFonts w:ascii="Calibri" w:cs="Calibri" w:eastAsia="Calibri" w:hAnsi="Calibri"/>
          <w:b/>
          <w:bCs/>
          <w:sz w:val="21"/>
          <w:szCs w:val="21"/>
        </w:rPr>
        <w:t xml:space="preserve">[NAME]</w:t>
      </w:r>
      <w:r>
        <w:rPr>
          <w:rFonts w:ascii="Calibri" w:cs="Calibri" w:eastAsia="Calibri" w:hAnsi="Calibri"/>
          <w:sz w:val="21"/>
          <w:szCs w:val="21"/>
        </w:rPr>
        <w:t xml:space="preserve"> as auditor — </w:t>
      </w:r>
      <w:r>
        <w:rPr>
          <w:rFonts w:ascii="Calibri" w:cs="Calibri" w:eastAsia="Calibri" w:hAnsi="Calibri"/>
          <w:i/>
          <w:iCs/>
          <w:sz w:val="21"/>
          <w:szCs w:val="21"/>
        </w:rPr>
        <w:t xml:space="preserve">or rely on the small company audit exemption where the criteria are met; state which applies</w:t>
      </w:r>
      <w:r>
        <w:rPr>
          <w:rFonts w:ascii="Calibri" w:cs="Calibri" w:eastAsia="Calibri" w:hAnsi="Calibri"/>
          <w:sz w:val="21"/>
          <w:szCs w:val="21"/>
        </w:rPr>
        <w:t xml:space="preserve">; and</w:t>
      </w:r>
    </w:p>
    <w:p>
      <w:pPr>
        <w:spacing w:after="100" w:before="40" w:line="276"/>
        <w:ind w:left="1440" w:hanging="720"/>
        <w:jc w:val="both"/>
      </w:pPr>
      <w:r>
        <w:rPr>
          <w:rFonts w:ascii="Calibri" w:cs="Calibri" w:eastAsia="Calibri" w:hAnsi="Calibri"/>
          <w:sz w:val="21"/>
          <w:szCs w:val="21"/>
        </w:rPr>
        <w:t xml:space="preserve">(l)	</w:t>
      </w:r>
      <w:r>
        <w:rPr>
          <w:rFonts w:ascii="Calibri" w:cs="Calibri" w:eastAsia="Calibri" w:hAnsi="Calibri"/>
          <w:sz w:val="21"/>
          <w:szCs w:val="21"/>
        </w:rPr>
        <w:t xml:space="preserve">any director or the company secretary be authorised to make all filings required.</w:t>
      </w:r>
    </w:p>
    <w:p>
      <w:pPr>
        <w:keepNext/>
        <w:spacing w:after="120" w:before="280"/>
        <w:outlineLvl w:val="0"/>
      </w:pPr>
      <w:r>
        <w:rPr>
          <w:rFonts w:ascii="Calibri" w:cs="Calibri" w:eastAsia="Calibri" w:hAnsi="Calibri"/>
          <w:b/>
          <w:bCs/>
          <w:color w:val="14161B"/>
          <w:sz w:val="22"/>
          <w:szCs w:val="22"/>
        </w:rPr>
        <w:t xml:space="preserve">5. CHOOSING THE FINANCIAL YEAR END</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first financial period may run up to a chosen date, and that date sets the rhythm of every subsequent obligation — accounts preparation, circulation to members, annual return, estimated chargeable income and the corporate tax return.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Consideration</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Effect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year end shortly after incorporation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Short first period; accounts and filings arrive quickly, before the business has much to report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year end up to the maximum permitted length after incorporation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Longer first period; defers the first full cycle and reduces early cost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31 December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Aligns with the calendar year and with many group reporting cycles; also the busiest period for accountants and auditors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31 March or 30 June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Spreads professional workload; may suit seasonal businesses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Aligning with a parent company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Simplifies group consolidation; usually the deciding factor where a parent exists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Changing it later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Possible but subject to conditions and notification — easier to choose well at the outset</w:t>
            </w:r>
          </w:p>
        </w:tc>
      </w:tr>
    </w:tbl>
    <w:p>
      <w:pPr>
        <w:keepNext/>
        <w:spacing w:after="120" w:before="280"/>
        <w:outlineLvl w:val="0"/>
      </w:pPr>
      <w:r>
        <w:rPr>
          <w:rFonts w:ascii="Calibri" w:cs="Calibri" w:eastAsia="Calibri" w:hAnsi="Calibri"/>
          <w:b/>
          <w:bCs/>
          <w:color w:val="14161B"/>
          <w:sz w:val="22"/>
          <w:szCs w:val="22"/>
        </w:rPr>
        <w:t xml:space="preserve">6. CONSTITUTION: MODEL OR BESPOKE</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A company that registers no constitution has the </w:t>
      </w:r>
      <w:r>
        <w:rPr>
          <w:rFonts w:ascii="Calibri" w:cs="Calibri" w:eastAsia="Calibri" w:hAnsi="Calibri"/>
          <w:b/>
          <w:bCs/>
          <w:sz w:val="21"/>
          <w:szCs w:val="21"/>
        </w:rPr>
        <w:t xml:space="preserve">Model Constitution</w:t>
      </w:r>
      <w:r>
        <w:rPr>
          <w:rFonts w:ascii="Calibri" w:cs="Calibri" w:eastAsia="Calibri" w:hAnsi="Calibri"/>
          <w:sz w:val="21"/>
          <w:szCs w:val="21"/>
        </w:rPr>
        <w:t xml:space="preserve"> applied to it by default.</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Model is adequate for a single-shareholder company with no outside investment. It is rarely what a company with co-founders or investors wants, particularly on </w:t>
      </w:r>
      <w:r>
        <w:rPr>
          <w:rFonts w:ascii="Calibri" w:cs="Calibri" w:eastAsia="Calibri" w:hAnsi="Calibri"/>
          <w:b/>
          <w:bCs/>
          <w:sz w:val="21"/>
          <w:szCs w:val="21"/>
        </w:rPr>
        <w:t xml:space="preserve">transfer restrictions, pre-emption, and whether interested directors may vote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Where investment is expected, adopting a bespoke constitution at incorporation — or at least knowing which Model provisions will need changing — avoids a rushed amendment during a financing.</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i/>
          <w:iCs/>
          <w:sz w:val="21"/>
          <w:szCs w:val="21"/>
        </w:rPr>
        <w:t xml:space="preserve">Free Singapore-law model documents, including a model constitution, are published by the venture capital and legal industry bodies. They are a reasonable starting point and are worth reviewing before paying for a bespoke draft.</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resident director requirement is continuous</w:t>
      </w:r>
    </w:p>
    <w:p>
      <w:pPr>
        <w:spacing w:after="60" w:line="264"/>
        <w:jc w:val="both"/>
      </w:pPr>
      <w:r>
        <w:rPr>
          <w:rFonts w:ascii="Calibri" w:cs="Calibri" w:eastAsia="Calibri" w:hAnsi="Calibri"/>
          <w:sz w:val="19"/>
          <w:szCs w:val="19"/>
        </w:rPr>
        <w:t xml:space="preserve">At least one director must be ordinarily resident in Singapore, from incorporation and at all times afterwards. It is not merely a condition of setting up. Foreign founders frequently solve it at incorporation with a nominee and then treat the arrangement as settled — it needs monitoring, and it has its own rules.</w:t>
      </w:r>
    </w:p>
    <w:p>
      <w:pPr>
        <w:keepNext/>
        <w:spacing w:after="40" w:before="140"/>
      </w:pPr>
      <w:r>
        <w:rPr>
          <w:rFonts w:ascii="Calibri" w:cs="Calibri" w:eastAsia="Calibri" w:hAnsi="Calibri"/>
          <w:b/>
          <w:bCs/>
          <w:color w:val="14161B"/>
          <w:sz w:val="20"/>
          <w:szCs w:val="20"/>
        </w:rPr>
        <w:t xml:space="preserve">Nominee director appointments must go through a registered provider</w:t>
      </w:r>
    </w:p>
    <w:p>
      <w:pPr>
        <w:spacing w:after="60" w:line="264"/>
        <w:jc w:val="both"/>
      </w:pPr>
      <w:r>
        <w:rPr>
          <w:rFonts w:ascii="Calibri" w:cs="Calibri" w:eastAsia="Calibri" w:hAnsi="Calibri"/>
          <w:sz w:val="19"/>
          <w:szCs w:val="19"/>
        </w:rPr>
        <w:t xml:space="preserve">Where a nominee director appointment is arranged </w:t>
      </w:r>
      <w:r>
        <w:rPr>
          <w:rFonts w:ascii="Calibri" w:cs="Calibri" w:eastAsia="Calibri" w:hAnsi="Calibri"/>
          <w:b/>
          <w:bCs/>
          <w:sz w:val="19"/>
          <w:szCs w:val="19"/>
        </w:rPr>
        <w:t xml:space="preserve">by way of business</w:t>
      </w:r>
      <w:r>
        <w:rPr>
          <w:rFonts w:ascii="Calibri" w:cs="Calibri" w:eastAsia="Calibri" w:hAnsi="Calibri"/>
          <w:sz w:val="19"/>
          <w:szCs w:val="19"/>
        </w:rPr>
        <w:t xml:space="preserve">, it must be made through a corporate service provider registered with the authority. This directly affects the common arrangement where a foreign-owned company obtains a resident director informally. Check how any existing arrangement was set up.</w:t>
      </w:r>
    </w:p>
    <w:p>
      <w:pPr>
        <w:keepNext/>
        <w:spacing w:after="40" w:before="140"/>
      </w:pPr>
      <w:r>
        <w:rPr>
          <w:rFonts w:ascii="Calibri" w:cs="Calibri" w:eastAsia="Calibri" w:hAnsi="Calibri"/>
          <w:b/>
          <w:bCs/>
          <w:color w:val="14161B"/>
          <w:sz w:val="20"/>
          <w:szCs w:val="20"/>
        </w:rPr>
        <w:t xml:space="preserve">Company secretary within six months</w:t>
      </w:r>
    </w:p>
    <w:p>
      <w:pPr>
        <w:spacing w:after="60" w:line="264"/>
        <w:jc w:val="both"/>
      </w:pPr>
      <w:r>
        <w:rPr>
          <w:rFonts w:ascii="Calibri" w:cs="Calibri" w:eastAsia="Calibri" w:hAnsi="Calibri"/>
          <w:sz w:val="19"/>
          <w:szCs w:val="19"/>
        </w:rPr>
        <w:t xml:space="preserve">The office must be filled within six months of incorporation and must not be vacant for more than six months thereafter. The secretary must be ordinarily resident in Singapore, and for a company with a sole director the secretary cannot be that same person.</w:t>
      </w:r>
    </w:p>
    <w:p>
      <w:pPr>
        <w:keepNext/>
        <w:spacing w:after="40" w:before="140"/>
      </w:pPr>
      <w:r>
        <w:rPr>
          <w:rFonts w:ascii="Calibri" w:cs="Calibri" w:eastAsia="Calibri" w:hAnsi="Calibri"/>
          <w:b/>
          <w:bCs/>
          <w:color w:val="14161B"/>
          <w:sz w:val="20"/>
          <w:szCs w:val="20"/>
        </w:rPr>
        <w:t xml:space="preserve">Choose the financial year end deliberately</w:t>
      </w:r>
    </w:p>
    <w:p>
      <w:pPr>
        <w:spacing w:after="60" w:line="264"/>
        <w:jc w:val="both"/>
      </w:pPr>
      <w:r>
        <w:rPr>
          <w:rFonts w:ascii="Calibri" w:cs="Calibri" w:eastAsia="Calibri" w:hAnsi="Calibri"/>
          <w:sz w:val="19"/>
          <w:szCs w:val="19"/>
        </w:rPr>
        <w:t xml:space="preserve">It determines every downstream deadline for the life of the company. Changing it later is possible but conditional. Think about group alignment, seasonality and professional workload before defaulting to 31 December because it seems obvious.</w:t>
      </w:r>
    </w:p>
    <w:p>
      <w:pPr>
        <w:keepNext/>
        <w:spacing w:after="40" w:before="140"/>
      </w:pPr>
      <w:r>
        <w:rPr>
          <w:rFonts w:ascii="Calibri" w:cs="Calibri" w:eastAsia="Calibri" w:hAnsi="Calibri"/>
          <w:b/>
          <w:bCs/>
          <w:color w:val="14161B"/>
          <w:sz w:val="20"/>
          <w:szCs w:val="20"/>
        </w:rPr>
        <w:t xml:space="preserve">The Model Constitution applies if you register nothing</w:t>
      </w:r>
    </w:p>
    <w:p>
      <w:pPr>
        <w:spacing w:after="60" w:line="264"/>
        <w:jc w:val="both"/>
      </w:pPr>
      <w:r>
        <w:rPr>
          <w:rFonts w:ascii="Calibri" w:cs="Calibri" w:eastAsia="Calibri" w:hAnsi="Calibri"/>
          <w:sz w:val="19"/>
          <w:szCs w:val="19"/>
        </w:rPr>
        <w:t xml:space="preserve">Doing nothing is a choice, and it is the wrong one for most companies with more than one shareholder. Transfer restrictions, pre-emption on new issues and interested-director voting are the provisions most often unsuitable, and they are precisely the ones that matter when a dispute or a financing arrives.</w:t>
      </w:r>
    </w:p>
    <w:p>
      <w:pPr>
        <w:keepNext/>
        <w:spacing w:after="40" w:before="140"/>
      </w:pPr>
      <w:r>
        <w:rPr>
          <w:rFonts w:ascii="Calibri" w:cs="Calibri" w:eastAsia="Calibri" w:hAnsi="Calibri"/>
          <w:b/>
          <w:bCs/>
          <w:color w:val="14161B"/>
          <w:sz w:val="20"/>
          <w:szCs w:val="20"/>
        </w:rPr>
        <w:t xml:space="preserve">Establish the controllers register immediately</w:t>
      </w:r>
    </w:p>
    <w:p>
      <w:pPr>
        <w:spacing w:after="60" w:line="264"/>
        <w:jc w:val="both"/>
      </w:pPr>
      <w:r>
        <w:rPr>
          <w:rFonts w:ascii="Calibri" w:cs="Calibri" w:eastAsia="Calibri" w:hAnsi="Calibri"/>
          <w:sz w:val="19"/>
          <w:szCs w:val="19"/>
        </w:rPr>
        <w:t xml:space="preserve">The register of registrable controllers must be set up within the prescribed period after incorporation, with notices issued and central filing made. New companies routinely miss it because it feels like an ongoing-compliance item rather than a setup task. It is both.</w:t>
      </w:r>
    </w:p>
    <w:p>
      <w:pPr>
        <w:keepNext/>
        <w:spacing w:after="40" w:before="140"/>
      </w:pPr>
      <w:r>
        <w:rPr>
          <w:rFonts w:ascii="Calibri" w:cs="Calibri" w:eastAsia="Calibri" w:hAnsi="Calibri"/>
          <w:b/>
          <w:bCs/>
          <w:color w:val="14161B"/>
          <w:sz w:val="20"/>
          <w:szCs w:val="20"/>
        </w:rPr>
        <w:t xml:space="preserve">Share capital: no minimum, but be sensible</w:t>
      </w:r>
    </w:p>
    <w:p>
      <w:pPr>
        <w:spacing w:after="60" w:line="264"/>
        <w:jc w:val="both"/>
      </w:pPr>
      <w:r>
        <w:rPr>
          <w:rFonts w:ascii="Calibri" w:cs="Calibri" w:eastAsia="Calibri" w:hAnsi="Calibri"/>
          <w:sz w:val="19"/>
          <w:szCs w:val="19"/>
        </w:rPr>
        <w:t xml:space="preserve">There is no minimum capital and no par value. A company incorporated with S$1 is perfectly valid, and it will raise eyebrows with banks, landlords and larger counterparties. Choose an amount that reflects what the founders are actually putting in.</w:t>
      </w:r>
    </w:p>
    <w:p>
      <w:pPr>
        <w:keepNext/>
        <w:spacing w:after="40" w:before="140"/>
      </w:pPr>
      <w:r>
        <w:rPr>
          <w:rFonts w:ascii="Calibri" w:cs="Calibri" w:eastAsia="Calibri" w:hAnsi="Calibri"/>
          <w:b/>
          <w:bCs/>
          <w:color w:val="14161B"/>
          <w:sz w:val="20"/>
          <w:szCs w:val="20"/>
        </w:rPr>
        <w:t xml:space="preserve">Get the founders’ arrangements done first</w:t>
      </w:r>
    </w:p>
    <w:p>
      <w:pPr>
        <w:spacing w:after="60" w:line="264"/>
        <w:jc w:val="both"/>
      </w:pPr>
      <w:r>
        <w:rPr>
          <w:rFonts w:ascii="Calibri" w:cs="Calibri" w:eastAsia="Calibri" w:hAnsi="Calibri"/>
          <w:sz w:val="19"/>
          <w:szCs w:val="19"/>
        </w:rPr>
        <w:t xml:space="preserve">A founders’ agreement, founder vesting and assignment of intellectual property created before incorporation are all far easier to agree while everyone is optimistic. Vesting in particular becomes a fraught negotiation once an investor requires it.</w:t>
      </w:r>
    </w:p>
    <w:p>
      <w:pPr>
        <w:keepNext/>
        <w:spacing w:after="40" w:before="140"/>
      </w:pPr>
      <w:r>
        <w:rPr>
          <w:rFonts w:ascii="Calibri" w:cs="Calibri" w:eastAsia="Calibri" w:hAnsi="Calibri"/>
          <w:b/>
          <w:bCs/>
          <w:color w:val="14161B"/>
          <w:sz w:val="20"/>
          <w:szCs w:val="20"/>
        </w:rPr>
        <w:t xml:space="preserve">Assign the pre-incorporation IP</w:t>
      </w:r>
    </w:p>
    <w:p>
      <w:pPr>
        <w:spacing w:after="60" w:line="264"/>
        <w:jc w:val="both"/>
      </w:pPr>
      <w:r>
        <w:rPr>
          <w:rFonts w:ascii="Calibri" w:cs="Calibri" w:eastAsia="Calibri" w:hAnsi="Calibri"/>
          <w:sz w:val="19"/>
          <w:szCs w:val="19"/>
        </w:rPr>
        <w:t xml:space="preserve">Code, designs and material created by founders before the company existed belong to them personally unless assigned. Investors will ask, and an unassigned core asset is a genuine problem rather than a technicality.</w:t>
      </w:r>
    </w:p>
    <w:p>
      <w:pPr>
        <w:keepNext/>
        <w:spacing w:after="40" w:before="140"/>
      </w:pPr>
      <w:r>
        <w:rPr>
          <w:rFonts w:ascii="Calibri" w:cs="Calibri" w:eastAsia="Calibri" w:hAnsi="Calibri"/>
          <w:b/>
          <w:bCs/>
          <w:color w:val="14161B"/>
          <w:sz w:val="20"/>
          <w:szCs w:val="20"/>
        </w:rPr>
        <w:t xml:space="preserve">Assess GST early</w:t>
      </w:r>
    </w:p>
    <w:p>
      <w:pPr>
        <w:spacing w:after="60" w:line="264"/>
        <w:jc w:val="both"/>
      </w:pPr>
      <w:r>
        <w:rPr>
          <w:rFonts w:ascii="Calibri" w:cs="Calibri" w:eastAsia="Calibri" w:hAnsi="Calibri"/>
          <w:sz w:val="19"/>
          <w:szCs w:val="19"/>
        </w:rPr>
        <w:t xml:space="preserve">Registration becomes compulsory once taxable turnover exceeds the threshold on a retrospective or prospective basis. Voluntary registration is available below it but now brings the e-invoicing requirement with it, which changes the calculation. Model it rather than deciding by default.</w:t>
      </w:r>
    </w:p>
    <w:p>
      <w:pPr>
        <w:keepNext/>
        <w:spacing w:after="40" w:before="140"/>
      </w:pPr>
      <w:r>
        <w:rPr>
          <w:rFonts w:ascii="Calibri" w:cs="Calibri" w:eastAsia="Calibri" w:hAnsi="Calibri"/>
          <w:b/>
          <w:bCs/>
          <w:color w:val="14161B"/>
          <w:sz w:val="20"/>
          <w:szCs w:val="20"/>
        </w:rPr>
        <w:t xml:space="preserve">Employment documents before the first hire</w:t>
      </w:r>
    </w:p>
    <w:p>
      <w:pPr>
        <w:spacing w:after="60" w:line="264"/>
        <w:jc w:val="both"/>
      </w:pPr>
      <w:r>
        <w:rPr>
          <w:rFonts w:ascii="Calibri" w:cs="Calibri" w:eastAsia="Calibri" w:hAnsi="Calibri"/>
          <w:sz w:val="19"/>
          <w:szCs w:val="19"/>
        </w:rPr>
        <w:t xml:space="preserve">Written key employment terms within fourteen days, itemised payslips, and correct CPF treatment all apply from the first employee. Setting them up before hiring is straightforward; retrofitting after several hires is not.</w:t>
      </w:r>
    </w:p>
    <w:p>
      <w:pPr>
        <w:keepNext/>
        <w:spacing w:after="40" w:before="140"/>
      </w:pPr>
      <w:r>
        <w:rPr>
          <w:rFonts w:ascii="Calibri" w:cs="Calibri" w:eastAsia="Calibri" w:hAnsi="Calibri"/>
          <w:b/>
          <w:bCs/>
          <w:color w:val="14161B"/>
          <w:sz w:val="20"/>
          <w:szCs w:val="20"/>
        </w:rPr>
        <w:t xml:space="preserve">Appoint a Data Protection Officer at the start</w:t>
      </w:r>
    </w:p>
    <w:p>
      <w:pPr>
        <w:spacing w:after="60" w:line="264"/>
        <w:jc w:val="both"/>
      </w:pPr>
      <w:r>
        <w:rPr>
          <w:rFonts w:ascii="Calibri" w:cs="Calibri" w:eastAsia="Calibri" w:hAnsi="Calibri"/>
          <w:sz w:val="19"/>
          <w:szCs w:val="19"/>
        </w:rPr>
        <w:t xml:space="preserve">The appointment is mandatory and the contact must be published. It costs nothing to do at incorporation and is routinely forgotten until a customer contract or a data question forces it.</w:t>
      </w:r>
    </w:p>
    <w:p>
      <w:pPr>
        <w:keepNext/>
        <w:spacing w:after="40" w:before="140"/>
      </w:pPr>
      <w:r>
        <w:rPr>
          <w:rFonts w:ascii="Calibri" w:cs="Calibri" w:eastAsia="Calibri" w:hAnsi="Calibri"/>
          <w:b/>
          <w:bCs/>
          <w:color w:val="14161B"/>
          <w:sz w:val="20"/>
          <w:szCs w:val="20"/>
        </w:rPr>
        <w:t xml:space="preserve">Understand what your service provider actually does</w:t>
      </w:r>
    </w:p>
    <w:p>
      <w:pPr>
        <w:spacing w:after="60" w:line="264"/>
        <w:jc w:val="both"/>
      </w:pPr>
      <w:r>
        <w:rPr>
          <w:rFonts w:ascii="Calibri" w:cs="Calibri" w:eastAsia="Calibri" w:hAnsi="Calibri"/>
          <w:sz w:val="19"/>
          <w:szCs w:val="19"/>
        </w:rPr>
        <w:t xml:space="preserve">Corporate secretarial packages vary widely. Confirm specifically whether annual controller verification notices, register maintenance, minute books and central filings are included. Assuming they are covered is the most common source of gaps.</w:t>
      </w:r>
    </w:p>
    <w:p>
      <w:pPr>
        <w:keepNext/>
        <w:spacing w:after="40" w:before="140"/>
      </w:pPr>
      <w:r>
        <w:rPr>
          <w:rFonts w:ascii="Calibri" w:cs="Calibri" w:eastAsia="Calibri" w:hAnsi="Calibri"/>
          <w:b/>
          <w:bCs/>
          <w:color w:val="14161B"/>
          <w:sz w:val="20"/>
          <w:szCs w:val="20"/>
        </w:rPr>
        <w:t xml:space="preserve">Audit exemption is not permanent</w:t>
      </w:r>
    </w:p>
    <w:p>
      <w:pPr>
        <w:spacing w:after="60" w:line="264"/>
        <w:jc w:val="both"/>
      </w:pPr>
      <w:r>
        <w:rPr>
          <w:rFonts w:ascii="Calibri" w:cs="Calibri" w:eastAsia="Calibri" w:hAnsi="Calibri"/>
          <w:sz w:val="19"/>
          <w:szCs w:val="19"/>
        </w:rPr>
        <w:t xml:space="preserve">Small company status must be tested annually against the criteria in each of the two preceding years, and for the group where relevant. Build the test into the annual cycle rather than assuming exemption continues.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Incorporation requirements, register and filing obligations, nominee director and corporate service provider rules, small company thresholds and GST registration and e-invoicing requirements all change — incorporate with a registered filing agent or corporate secretary, and take advice on the constitution where investment is expected.</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2026-08-22T06:55:30.757Z</dcterms:created>
  <dcterms:modified xsi:type="dcterms:W3CDTF">2026-08-22T06:55:30.757Z</dcterms:modified>
</cp:coreProperties>
</file>

<file path=docProps/custom.xml><?xml version="1.0" encoding="utf-8"?>
<Properties xmlns="http://schemas.openxmlformats.org/officeDocument/2006/custom-properties" xmlns:vt="http://schemas.openxmlformats.org/officeDocument/2006/docPropsVTypes"/>
</file>