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TAX INVOICE</w:t>
      </w:r>
    </w:p>
    <w:p>
      <w:pPr>
        <w:spacing w:after="260"/>
        <w:jc w:val="center"/>
      </w:pPr>
      <w:r>
        <w:rPr>
          <w:rFonts w:ascii="Calibri" w:cs="Calibri" w:eastAsia="Calibri" w:hAnsi="Calibri"/>
          <w:i/>
          <w:iCs/>
          <w:color w:val="6E7480"/>
          <w:sz w:val="19"/>
          <w:szCs w:val="19"/>
        </w:rPr>
        <w:t xml:space="preserve">Under the Goods and Services Tax Act</w:t>
      </w:r>
    </w:p>
    <w:p>
      <w:pPr>
        <w:spacing w:after="110" w:before="0" w:line="276"/>
        <w:jc w:val="both"/>
      </w:pPr>
      <w:r>
        <w:rPr>
          <w:rFonts w:ascii="Calibri" w:cs="Calibri" w:eastAsia="Calibri" w:hAnsi="Calibri"/>
          <w:i/>
          <w:iCs/>
          <w:color w:val="6E7480"/>
          <w:sz w:val="21"/>
          <w:szCs w:val="21"/>
        </w:rPr>
        <w:t xml:space="preserve">A tax invoice must be titled as one and must carry your GST registration number. Without it your customer cannot claim the input tax.</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2891"/>
        <w:gridCol w:w="1927"/>
        <w:gridCol w:w="2893"/>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p>
        </w:tc>
        <w:tc>
          <w:tcPr>
            <w:tcW w:type="dxa" w:w="2891"/>
            <w:shd w:fill="EEF1FE" w:color="auto" w:val="clear"/>
            <w:tcMar>
              <w:top w:type="dxa" w:w="70"/>
              <w:left w:type="dxa" w:w="100"/>
              <w:bottom w:type="dxa" w:w="70"/>
              <w:right w:type="dxa" w:w="100"/>
            </w:tcMar>
            <w:vAlign w:val="center"/>
          </w:tcPr>
          <w:p>
            <w:pPr>
              <w:spacing w:after="0" w:line="240"/>
              <w:jc w:val="left"/>
            </w:pPr>
          </w:p>
        </w:tc>
        <w:tc>
          <w:tcPr>
            <w:tcW w:type="dxa" w:w="1927"/>
            <w:shd w:fill="EEF1FE" w:color="auto" w:val="clear"/>
            <w:tcMar>
              <w:top w:type="dxa" w:w="70"/>
              <w:left w:type="dxa" w:w="100"/>
              <w:bottom w:type="dxa" w:w="70"/>
              <w:right w:type="dxa" w:w="100"/>
            </w:tcMar>
            <w:vAlign w:val="center"/>
          </w:tcPr>
          <w:p>
            <w:pPr>
              <w:spacing w:after="0" w:line="240"/>
              <w:jc w:val="left"/>
            </w:pPr>
          </w:p>
        </w:tc>
        <w:tc>
          <w:tcPr>
            <w:tcW w:type="dxa" w:w="2893"/>
            <w:shd w:fill="EEF1FE" w:color="auto" w:val="clear"/>
            <w:tcMar>
              <w:top w:type="dxa" w:w="70"/>
              <w:left w:type="dxa" w:w="100"/>
              <w:bottom w:type="dxa" w:w="70"/>
              <w:right w:type="dxa" w:w="100"/>
            </w:tcMar>
            <w:vAlign w:val="center"/>
          </w:tcPr>
          <w:p>
            <w:pPr>
              <w:spacing w:after="0" w:line="240"/>
              <w:jc w:val="left"/>
            </w:pP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No.</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[SERIAL]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Invoice date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Buyer’s order no.</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Order date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Due 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Terms of payment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Delivery / job ref.</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Currency</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[SGD]</w:t>
            </w:r>
          </w:p>
        </w:tc>
      </w:tr>
    </w:tbl>
    <w:p>
      <w:pPr>
        <w:spacing w:after="8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4819"/>
      </w:tblGrid>
      <w:tr>
        <w:trPr>
          <w:cantSplit/>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from — supplier</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to — customer</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[LEGAL NAME]</w:t>
            </w:r>
          </w:p>
          <w:p>
            <w:pPr>
              <w:spacing w:after="0" w:line="240"/>
              <w:jc w:val="left"/>
            </w:pPr>
            <w:r>
              <w:rPr>
                <w:rFonts w:ascii="Calibri" w:cs="Calibri" w:eastAsia="Calibri" w:hAnsi="Calibri"/>
                <w:b/>
                <w:bCs/>
                <w:sz w:val="18"/>
                <w:szCs w:val="18"/>
              </w:rPr>
              <w:t xml:space="preserve">[Trade name, if different]</w:t>
            </w:r>
          </w:p>
          <w:p>
            <w:pPr>
              <w:spacing w:after="0" w:line="240"/>
              <w:jc w:val="left"/>
            </w:pPr>
            <w:r>
              <w:rPr>
                <w:rFonts w:ascii="Calibri" w:cs="Calibri" w:eastAsia="Calibri" w:hAnsi="Calibri"/>
                <w:b/>
                <w:bCs/>
                <w:sz w:val="18"/>
                <w:szCs w:val="18"/>
              </w:rPr>
              <w:t xml:space="preserve">[ADDRESS]</w:t>
            </w:r>
          </w:p>
          <w:p>
            <w:pPr>
              <w:spacing w:after="0" w:line="240"/>
              <w:jc w:val="left"/>
            </w:pPr>
            <w:r>
              <w:rPr>
                <w:rFonts w:ascii="Calibri" w:cs="Calibri" w:eastAsia="Calibri" w:hAnsi="Calibri"/>
                <w:sz w:val="18"/>
                <w:szCs w:val="18"/>
              </w:rPr>
              <w:t xml:space="preserve">Singapore </w:t>
            </w:r>
            <w:r>
              <w:rPr>
                <w:rFonts w:ascii="Calibri" w:cs="Calibri" w:eastAsia="Calibri" w:hAnsi="Calibri"/>
                <w:b/>
                <w:bCs/>
                <w:sz w:val="18"/>
                <w:szCs w:val="18"/>
              </w:rPr>
              <w:t xml:space="preserve">[POSTAL]</w:t>
            </w:r>
          </w:p>
          <w:p>
            <w:pPr>
              <w:spacing w:after="0" w:line="240"/>
              <w:jc w:val="left"/>
            </w:pPr>
            <w:r>
              <w:rPr>
                <w:rFonts w:ascii="Calibri" w:cs="Calibri" w:eastAsia="Calibri" w:hAnsi="Calibri"/>
                <w:b/>
                <w:bCs/>
                <w:sz w:val="18"/>
                <w:szCs w:val="18"/>
              </w:rPr>
              <w:t xml:space="preserve">GST Reg. No.: </w:t>
            </w:r>
            <w:r>
              <w:rPr>
                <w:rFonts w:ascii="Calibri" w:cs="Calibri" w:eastAsia="Calibri" w:hAnsi="Calibri"/>
                <w:b/>
                <w:bCs/>
                <w:sz w:val="18"/>
                <w:szCs w:val="18"/>
              </w:rPr>
              <w:t xml:space="preserve">[GST REG NO]</w:t>
            </w:r>
          </w:p>
          <w:p>
            <w:pPr>
              <w:spacing w:after="0" w:line="240"/>
              <w:jc w:val="left"/>
            </w:pPr>
            <w:r>
              <w:rPr>
                <w:rFonts w:ascii="Calibri" w:cs="Calibri" w:eastAsia="Calibri" w:hAnsi="Calibri"/>
                <w:sz w:val="18"/>
                <w:szCs w:val="18"/>
              </w:rPr>
              <w:t xml:space="preserve">UEN: </w:t>
            </w:r>
            <w:r>
              <w:rPr>
                <w:rFonts w:ascii="Calibri" w:cs="Calibri" w:eastAsia="Calibri" w:hAnsi="Calibri"/>
                <w:b/>
                <w:bCs/>
                <w:sz w:val="18"/>
                <w:szCs w:val="18"/>
              </w:rPr>
              <w:t xml:space="preserve">[UEN]</w:t>
            </w:r>
          </w:p>
          <w:p>
            <w:pPr>
              <w:spacing w:after="0" w:line="240"/>
              <w:jc w:val="left"/>
            </w:pPr>
            <w:r>
              <w:rPr>
                <w:rFonts w:ascii="Calibri" w:cs="Calibri" w:eastAsia="Calibri" w:hAnsi="Calibri"/>
                <w:b/>
                <w:bCs/>
                <w:sz w:val="18"/>
                <w:szCs w:val="18"/>
              </w:rPr>
              <w:t xml:space="preserve">[PHONE]</w:t>
            </w:r>
            <w:r>
              <w:rPr>
                <w:rFonts w:ascii="Calibri" w:cs="Calibri" w:eastAsia="Calibri" w:hAnsi="Calibri"/>
                <w:sz w:val="18"/>
                <w:szCs w:val="18"/>
              </w:rPr>
              <w:t xml:space="preserve"> | </w:t>
            </w:r>
            <w:r>
              <w:rPr>
                <w:rFonts w:ascii="Calibri" w:cs="Calibri" w:eastAsia="Calibri" w:hAnsi="Calibri"/>
                <w:b/>
                <w:bCs/>
                <w:sz w:val="18"/>
                <w:szCs w:val="18"/>
              </w:rPr>
              <w:t xml:space="preserve">[EMAIL]</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[LEGAL NAME]</w:t>
            </w:r>
          </w:p>
          <w:p>
            <w:pPr>
              <w:spacing w:after="0" w:line="240"/>
              <w:jc w:val="left"/>
            </w:pPr>
            <w:r>
              <w:rPr>
                <w:rFonts w:ascii="Calibri" w:cs="Calibri" w:eastAsia="Calibri" w:hAnsi="Calibri"/>
                <w:b/>
                <w:bCs/>
                <w:sz w:val="18"/>
                <w:szCs w:val="18"/>
              </w:rPr>
              <w:t xml:space="preserve">[ADDRESS]</w:t>
            </w:r>
          </w:p>
          <w:p>
            <w:pPr>
              <w:spacing w:after="0" w:line="240"/>
              <w:jc w:val="left"/>
            </w:pPr>
            <w:r>
              <w:rPr>
                <w:rFonts w:ascii="Calibri" w:cs="Calibri" w:eastAsia="Calibri" w:hAnsi="Calibri"/>
                <w:b/>
                <w:bCs/>
                <w:sz w:val="18"/>
                <w:szCs w:val="18"/>
              </w:rPr>
              <w:t xml:space="preserve">[COUNTRY]</w:t>
            </w:r>
            <w:r>
              <w:rPr>
                <w:rFonts w:ascii="Calibri" w:cs="Calibri" w:eastAsia="Calibri" w:hAnsi="Calibri"/>
                <w:sz w:val="18"/>
                <w:szCs w:val="18"/>
              </w:rPr>
              <w:t xml:space="preserve"> </w:t>
            </w:r>
            <w:r>
              <w:rPr>
                <w:rFonts w:ascii="Calibri" w:cs="Calibri" w:eastAsia="Calibri" w:hAnsi="Calibri"/>
                <w:b/>
                <w:bCs/>
                <w:sz w:val="18"/>
                <w:szCs w:val="18"/>
              </w:rPr>
              <w:t xml:space="preserve">[POSTAL]</w:t>
            </w:r>
          </w:p>
          <w:p>
            <w:pPr>
              <w:spacing w:after="0" w:line="240"/>
              <w:jc w:val="left"/>
            </w:pPr>
            <w:r>
              <w:rPr>
                <w:rFonts w:ascii="Calibri" w:cs="Calibri" w:eastAsia="Calibri" w:hAnsi="Calibri"/>
                <w:sz w:val="18"/>
                <w:szCs w:val="18"/>
              </w:rPr>
              <w:t xml:space="preserve">UEN / GST Reg. No.: </w:t>
            </w:r>
            <w:r>
              <w:rPr>
                <w:rFonts w:ascii="Calibri" w:cs="Calibri" w:eastAsia="Calibri" w:hAnsi="Calibri"/>
                <w:b/>
                <w:bCs/>
                <w:sz w:val="18"/>
                <w:szCs w:val="18"/>
              </w:rPr>
              <w:t xml:space="preserve">[NUMBER]</w:t>
            </w:r>
          </w:p>
          <w:p>
            <w:pPr>
              <w:spacing w:after="0" w:line="240"/>
              <w:jc w:val="left"/>
            </w:pPr>
            <w:r>
              <w:rPr>
                <w:rFonts w:ascii="Calibri" w:cs="Calibri" w:eastAsia="Calibri" w:hAnsi="Calibri"/>
                <w:sz w:val="18"/>
                <w:szCs w:val="18"/>
              </w:rPr>
              <w:t xml:space="preserve">Attention: </w:t>
            </w:r>
            <w:r>
              <w:rPr>
                <w:rFonts w:ascii="Calibri" w:cs="Calibri" w:eastAsia="Calibri" w:hAnsi="Calibri"/>
                <w:b/>
                <w:bCs/>
                <w:sz w:val="18"/>
                <w:szCs w:val="18"/>
              </w:rPr>
              <w:t xml:space="preserve">[NAME]</w:t>
            </w:r>
          </w:p>
          <w:p>
            <w:pPr>
              <w:spacing w:after="0" w:line="240"/>
              <w:jc w:val="left"/>
            </w:pPr>
          </w:p>
          <w:p>
            <w:pPr>
              <w:spacing w:after="0" w:line="240"/>
              <w:jc w:val="left"/>
            </w:pPr>
            <w:r>
              <w:rPr>
                <w:rFonts w:ascii="Calibri" w:cs="Calibri" w:eastAsia="Calibri" w:hAnsi="Calibri"/>
                <w:b/>
                <w:bCs/>
                <w:sz w:val="18"/>
                <w:szCs w:val="18"/>
              </w:rPr>
              <w:t xml:space="preserve">Deliver to</w:t>
            </w:r>
            <w:r>
              <w:rPr>
                <w:rFonts w:ascii="Calibri" w:cs="Calibri" w:eastAsia="Calibri" w:hAnsi="Calibri"/>
                <w:sz w:val="18"/>
                <w:szCs w:val="18"/>
              </w:rPr>
              <w:t xml:space="preserve"> (if different)</w:t>
            </w:r>
          </w:p>
          <w:p>
            <w:pPr>
              <w:spacing w:after="0" w:line="240"/>
              <w:jc w:val="left"/>
            </w:pPr>
            <w:r>
              <w:rPr>
                <w:rFonts w:ascii="Calibri" w:cs="Calibri" w:eastAsia="Calibri" w:hAnsi="Calibri"/>
                <w:b/>
                <w:bCs/>
                <w:sz w:val="18"/>
                <w:szCs w:val="18"/>
              </w:rPr>
              <w:t xml:space="preserve">[ADDRESS]</w:t>
            </w:r>
          </w:p>
        </w:tc>
      </w:tr>
    </w:tbl>
    <w:p>
      <w:pPr>
        <w:spacing w:after="8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337"/>
        <w:gridCol w:w="963"/>
        <w:gridCol w:w="963"/>
        <w:gridCol w:w="1349"/>
        <w:gridCol w:w="1545"/>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43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 of goods or services supplied</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Qty</w:t>
            </w:r>
          </w:p>
        </w:tc>
        <w:tc>
          <w:tcPr>
            <w:tcW w:type="dxa" w:w="96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Unit</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Unit price</w:t>
            </w:r>
          </w:p>
        </w:tc>
        <w:tc>
          <w:tcPr>
            <w:tcW w:type="dxa" w:w="15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 excl. GST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[QTY]</w:t>
            </w:r>
          </w:p>
        </w:tc>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[UOM]</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[QTY]</w:t>
            </w:r>
          </w:p>
        </w:tc>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[UOM]</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[QTY]</w:t>
            </w:r>
          </w:p>
        </w:tc>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[UOM]</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excluding GST</w:t>
            </w:r>
          </w:p>
        </w:tc>
        <w:tc>
          <w:tcPr>
            <w:tcW w:type="dxa" w:w="963"/>
            <w:tcMar>
              <w:top w:type="dxa" w:w="70"/>
              <w:left w:type="dxa" w:w="100"/>
              <w:bottom w:type="dxa" w:w="70"/>
              <w:right w:type="dxa" w:w="100"/>
            </w:tcMar>
            <w:vAlign w:val="center"/>
          </w:tcPr>
          <w:p>
            <w:pPr>
              <w:spacing w:after="0" w:line="240"/>
              <w:jc w:val="right"/>
            </w:pPr>
          </w:p>
        </w:tc>
        <w:tc>
          <w:tcPr>
            <w:tcW w:type="dxa" w:w="963"/>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right"/>
            </w:pP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8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590"/>
        <w:gridCol w:w="1349"/>
        <w:gridCol w:w="2699"/>
      </w:tblGrid>
      <w:tr>
        <w:trPr>
          <w:cantSplit/>
          <w:tblHeader/>
        </w:trPr>
        <w:tc>
          <w:tcPr>
            <w:tcW w:type="dxa" w:w="5590"/>
            <w:shd w:fill="EEF1FE" w:color="auto" w:val="clear"/>
            <w:tcMar>
              <w:top w:type="dxa" w:w="70"/>
              <w:left w:type="dxa" w:w="100"/>
              <w:bottom w:type="dxa" w:w="70"/>
              <w:right w:type="dxa" w:w="100"/>
            </w:tcMar>
            <w:vAlign w:val="center"/>
          </w:tcPr>
          <w:p>
            <w:pPr>
              <w:spacing w:after="0" w:line="240"/>
              <w:jc w:val="left"/>
            </w:pPr>
          </w:p>
        </w:tc>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Rate</w:t>
            </w:r>
          </w:p>
        </w:tc>
        <w:tc>
          <w:tcPr>
            <w:tcW w:type="dxa" w:w="269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(SGD)</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amount payable excluding GST</w:t>
            </w:r>
          </w:p>
        </w:tc>
        <w:tc>
          <w:tcPr>
            <w:tcW w:type="dxa" w:w="1349"/>
            <w:tcMar>
              <w:top w:type="dxa" w:w="70"/>
              <w:left w:type="dxa" w:w="100"/>
              <w:bottom w:type="dxa" w:w="70"/>
              <w:right w:type="dxa" w:w="100"/>
            </w:tcMar>
            <w:vAlign w:val="center"/>
          </w:tcPr>
          <w:p>
            <w:pPr>
              <w:spacing w:after="0" w:line="240"/>
              <w:jc w:val="center"/>
            </w:pP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GST</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[9]</w:t>
            </w:r>
            <w:r>
              <w:rPr>
                <w:rFonts w:ascii="Calibri" w:cs="Calibri" w:eastAsia="Calibri" w:hAnsi="Calibri"/>
                <w:b/>
                <w:bCs/>
                <w:sz w:val="18"/>
                <w:szCs w:val="18"/>
              </w:rPr>
              <w:t xml:space="preserve">%</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[Zero-rated supplies — exports and international services]</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0%</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[Exempt supplies]</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amount payable including GST</w:t>
            </w:r>
          </w:p>
        </w:tc>
        <w:tc>
          <w:tcPr>
            <w:tcW w:type="dxa" w:w="1349"/>
            <w:tcMar>
              <w:top w:type="dxa" w:w="70"/>
              <w:left w:type="dxa" w:w="100"/>
              <w:bottom w:type="dxa" w:w="70"/>
              <w:right w:type="dxa" w:w="100"/>
            </w:tcMar>
            <w:vAlign w:val="center"/>
          </w:tcPr>
          <w:p>
            <w:pPr>
              <w:spacing w:after="0" w:line="240"/>
              <w:jc w:val="center"/>
            </w:pP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bl>
    <w:p>
      <w:pPr>
        <w:spacing w:after="8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4240"/>
        <w:gridCol w:w="250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Payment details</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Notes</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For </w:t>
            </w:r>
            <w:r>
              <w:rPr>
                <w:rFonts w:ascii="Calibri" w:cs="Calibri" w:eastAsia="Calibri" w:hAnsi="Calibri"/>
                <w:b/>
                <w:bCs/>
                <w:sz w:val="16"/>
                <w:szCs w:val="16"/>
              </w:rPr>
              <w:t xml:space="preserve">[COMPANY NAME]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 name: </w:t>
            </w:r>
            <w:r>
              <w:rPr>
                <w:rFonts w:ascii="Calibri" w:cs="Calibri" w:eastAsia="Calibri" w:hAnsi="Calibri"/>
                <w:b/>
                <w:bCs/>
                <w:sz w:val="16"/>
                <w:szCs w:val="16"/>
              </w:rPr>
              <w:t xml:space="preserve">[NAME]</w:t>
            </w:r>
          </w:p>
          <w:p>
            <w:pPr>
              <w:spacing w:after="0" w:line="240"/>
              <w:jc w:val="left"/>
            </w:pPr>
            <w:r>
              <w:rPr>
                <w:rFonts w:ascii="Calibri" w:cs="Calibri" w:eastAsia="Calibri" w:hAnsi="Calibri"/>
                <w:sz w:val="16"/>
                <w:szCs w:val="16"/>
              </w:rPr>
              <w:t xml:space="preserve">Bank: </w:t>
            </w:r>
            <w:r>
              <w:rPr>
                <w:rFonts w:ascii="Calibri" w:cs="Calibri" w:eastAsia="Calibri" w:hAnsi="Calibri"/>
                <w:b/>
                <w:bCs/>
                <w:sz w:val="16"/>
                <w:szCs w:val="16"/>
              </w:rPr>
              <w:t xml:space="preserve">[BANK]</w:t>
            </w:r>
          </w:p>
          <w:p>
            <w:pPr>
              <w:spacing w:after="0" w:line="240"/>
              <w:jc w:val="left"/>
            </w:pPr>
            <w:r>
              <w:rPr>
                <w:rFonts w:ascii="Calibri" w:cs="Calibri" w:eastAsia="Calibri" w:hAnsi="Calibri"/>
                <w:sz w:val="16"/>
                <w:szCs w:val="16"/>
              </w:rPr>
              <w:t xml:space="preserve">A/c no.: </w:t>
            </w:r>
            <w:r>
              <w:rPr>
                <w:rFonts w:ascii="Calibri" w:cs="Calibri" w:eastAsia="Calibri" w:hAnsi="Calibri"/>
                <w:b/>
                <w:bCs/>
                <w:sz w:val="16"/>
                <w:szCs w:val="16"/>
              </w:rPr>
              <w:t xml:space="preserve">[NUMBER]</w:t>
            </w:r>
          </w:p>
          <w:p>
            <w:pPr>
              <w:spacing w:after="0" w:line="240"/>
              <w:jc w:val="left"/>
            </w:pPr>
            <w:r>
              <w:rPr>
                <w:rFonts w:ascii="Calibri" w:cs="Calibri" w:eastAsia="Calibri" w:hAnsi="Calibri"/>
                <w:sz w:val="16"/>
                <w:szCs w:val="16"/>
              </w:rPr>
              <w:t xml:space="preserve">SWIFT: </w:t>
            </w:r>
            <w:r>
              <w:rPr>
                <w:rFonts w:ascii="Calibri" w:cs="Calibri" w:eastAsia="Calibri" w:hAnsi="Calibri"/>
                <w:b/>
                <w:bCs/>
                <w:sz w:val="16"/>
                <w:szCs w:val="16"/>
              </w:rPr>
              <w:t xml:space="preserve">[CODE]</w:t>
            </w:r>
          </w:p>
          <w:p>
            <w:pPr>
              <w:spacing w:after="0" w:line="240"/>
              <w:jc w:val="left"/>
            </w:pPr>
            <w:r>
              <w:rPr>
                <w:rFonts w:ascii="Calibri" w:cs="Calibri" w:eastAsia="Calibri" w:hAnsi="Calibri"/>
                <w:sz w:val="16"/>
                <w:szCs w:val="16"/>
              </w:rPr>
              <w:t xml:space="preserve">PayNow UEN: </w:t>
            </w:r>
            <w:r>
              <w:rPr>
                <w:rFonts w:ascii="Calibri" w:cs="Calibri" w:eastAsia="Calibri" w:hAnsi="Calibri"/>
                <w:b/>
                <w:bCs/>
                <w:sz w:val="16"/>
                <w:szCs w:val="16"/>
              </w:rPr>
              <w:t xml:space="preserve">[UEN]</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[Late payment interest, retention of title, or other standing terms]</w:t>
            </w:r>
          </w:p>
          <w:p>
            <w:pPr>
              <w:spacing w:after="0" w:line="240"/>
              <w:jc w:val="left"/>
            </w:pPr>
          </w:p>
          <w:p>
            <w:pPr>
              <w:spacing w:after="0" w:line="240"/>
              <w:jc w:val="left"/>
            </w:pPr>
            <w:r>
              <w:rPr>
                <w:rFonts w:ascii="Calibri" w:cs="Calibri" w:eastAsia="Calibri" w:hAnsi="Calibri"/>
                <w:b/>
                <w:bCs/>
                <w:sz w:val="16"/>
                <w:szCs w:val="16"/>
              </w:rPr>
              <w:t xml:space="preserve">[Where any supply is zero-rated, retain the supporting export or international service evidence.]</w:t>
            </w:r>
          </w:p>
        </w:tc>
        <w:tc>
          <w:tcPr>
            <w:tcW w:type="dxa" w:w="2507"/>
            <w:tcMar>
              <w:top w:type="dxa" w:w="70"/>
              <w:left w:type="dxa" w:w="100"/>
              <w:bottom w:type="dxa" w:w="70"/>
              <w:right w:type="dxa" w:w="100"/>
            </w:tcMar>
            <w:vAlign w:val="center"/>
          </w:tcPr>
          <w:p>
            <w:pPr>
              <w:spacing w:after="0" w:line="240"/>
              <w:jc w:val="left"/>
            </w:pPr>
          </w:p>
          <w:p>
            <w:pPr>
              <w:spacing w:after="0" w:line="240"/>
              <w:jc w:val="left"/>
            </w:pPr>
          </w:p>
          <w:p>
            <w:pPr>
              <w:spacing w:after="0" w:line="240"/>
              <w:jc w:val="left"/>
            </w:pPr>
            <w:r>
              <w:rPr>
                <w:rFonts w:ascii="Calibri" w:cs="Calibri" w:eastAsia="Calibri" w:hAnsi="Calibri"/>
                <w:sz w:val="16"/>
                <w:szCs w:val="16"/>
              </w:rPr>
              <w:t xml:space="preserve">_______________________</w:t>
            </w:r>
          </w:p>
          <w:p>
            <w:pPr>
              <w:spacing w:after="0" w:line="240"/>
              <w:jc w:val="left"/>
            </w:pPr>
            <w:r>
              <w:rPr>
                <w:rFonts w:ascii="Calibri" w:cs="Calibri" w:eastAsia="Calibri" w:hAnsi="Calibri"/>
                <w:sz w:val="16"/>
                <w:szCs w:val="16"/>
              </w:rPr>
              <w:t xml:space="preserve">Authorised signatory</w:t>
            </w:r>
          </w:p>
          <w:p>
            <w:pPr>
              <w:spacing w:after="0" w:line="240"/>
              <w:jc w:val="left"/>
            </w:pPr>
            <w:r>
              <w:rPr>
                <w:rFonts w:ascii="Calibri" w:cs="Calibri" w:eastAsia="Calibri" w:hAnsi="Calibri"/>
                <w:sz w:val="16"/>
                <w:szCs w:val="16"/>
              </w:rPr>
              <w:t xml:space="preserve">Date: </w:t>
            </w:r>
            <w:r>
              <w:rPr>
                <w:rFonts w:ascii="Calibri" w:cs="Calibri" w:eastAsia="Calibri" w:hAnsi="Calibri"/>
                <w:b/>
                <w:bCs/>
                <w:sz w:val="16"/>
                <w:szCs w:val="16"/>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GETTING IT RIGHT</w:t>
      </w:r>
    </w:p>
    <w:p>
      <w:pPr>
        <w:spacing w:after="260"/>
        <w:jc w:val="center"/>
      </w:pPr>
      <w:r>
        <w:rPr>
          <w:rFonts w:ascii="Calibri" w:cs="Calibri" w:eastAsia="Calibri" w:hAnsi="Calibri"/>
          <w:i/>
          <w:iCs/>
          <w:color w:val="6E7480"/>
          <w:sz w:val="19"/>
          <w:szCs w:val="19"/>
        </w:rPr>
        <w:t xml:space="preserve">What the law requires, and where invoices fail</w:t>
      </w:r>
    </w:p>
    <w:p>
      <w:pPr>
        <w:keepNext/>
        <w:spacing w:after="120" w:before="280"/>
        <w:outlineLvl w:val="0"/>
      </w:pPr>
      <w:r>
        <w:rPr>
          <w:rFonts w:ascii="Calibri" w:cs="Calibri" w:eastAsia="Calibri" w:hAnsi="Calibri"/>
          <w:b/>
          <w:bCs/>
          <w:color w:val="14161B"/>
          <w:sz w:val="22"/>
          <w:szCs w:val="22"/>
        </w:rPr>
        <w:t xml:space="preserve">1. MANDATORY PARTICULARS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626"/>
        <w:gridCol w:w="462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Particular</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words </w:t>
            </w:r>
            <w:r>
              <w:rPr>
                <w:rFonts w:ascii="Calibri" w:cs="Calibri" w:eastAsia="Calibri" w:hAnsi="Calibri"/>
                <w:b/>
                <w:bCs/>
                <w:sz w:val="17"/>
                <w:szCs w:val="17"/>
              </w:rPr>
              <w:t xml:space="preserve">"Tax Invoice"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document must be titled as 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Invoice </w:t>
            </w:r>
            <w:r>
              <w:rPr>
                <w:rFonts w:ascii="Calibri" w:cs="Calibri" w:eastAsia="Calibri" w:hAnsi="Calibri"/>
                <w:b/>
                <w:bCs/>
                <w:sz w:val="17"/>
                <w:szCs w:val="17"/>
              </w:rPr>
              <w:t xml:space="preserve">serial number</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Date of issue</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Supplier’s name, address and </w:t>
            </w:r>
            <w:r>
              <w:rPr>
                <w:rFonts w:ascii="Calibri" w:cs="Calibri" w:eastAsia="Calibri" w:hAnsi="Calibri"/>
                <w:b/>
                <w:bCs/>
                <w:sz w:val="17"/>
                <w:szCs w:val="17"/>
              </w:rPr>
              <w:t xml:space="preserve">GST registration number</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number is the item most often missing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Customer’s name and address</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Description of the goods or services supplied</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Quantity or extent of the supply</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amount payable excluding GST</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Rate and total GST charged</w:t>
            </w:r>
            <w:r>
              <w:rPr>
                <w:rFonts w:ascii="Calibri" w:cs="Calibri" w:eastAsia="Calibri" w:hAnsi="Calibri"/>
                <w:sz w:val="17"/>
                <w:szCs w:val="17"/>
              </w:rPr>
              <w:t xml:space="preserve">, shown separately</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amount payable including GST</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any supply is zero-rated or exempt, the totals shown separately</w:t>
            </w:r>
          </w:p>
        </w:tc>
        <w:tc>
          <w:tcPr>
            <w:tcW w:type="dxa" w:w="4627"/>
            <w:tcMar>
              <w:top w:type="dxa" w:w="70"/>
              <w:left w:type="dxa" w:w="100"/>
              <w:bottom w:type="dxa" w:w="70"/>
              <w:right w:type="dxa" w:w="100"/>
            </w:tcMar>
            <w:vAlign w:val="center"/>
          </w:tcPr>
          <w:p>
            <w:pPr>
              <w:spacing w:after="0" w:line="240"/>
              <w:jc w:val="left"/>
            </w:pPr>
          </w:p>
        </w:tc>
      </w:tr>
    </w:tbl>
    <w:p>
      <w:pPr>
        <w:spacing w:after="120"/>
      </w:pPr>
    </w:p>
    <w:p>
      <w:pPr>
        <w:keepNext/>
        <w:spacing w:after="120" w:before="280"/>
        <w:outlineLvl w:val="0"/>
      </w:pPr>
      <w:r>
        <w:rPr>
          <w:rFonts w:ascii="Calibri" w:cs="Calibri" w:eastAsia="Calibri" w:hAnsi="Calibri"/>
          <w:b/>
          <w:bCs/>
          <w:color w:val="14161B"/>
          <w:sz w:val="22"/>
          <w:szCs w:val="22"/>
        </w:rPr>
        <w:t xml:space="preserve">2. WHEN THIS IS THE WRONG DOCUMENT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Use instead</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Simplified tax invoice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total including GST does not exceed the prescribed threshold — fewer particulars are required</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Receipt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customer is not GST-registered and does not need to claim input tax</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Credit note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Value or GST reduced after issue — must cross-refer to the original invoice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Debit note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Value or GST increased after issue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Invoice without GST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You are not GST-registered.</w:t>
            </w:r>
            <w:r>
              <w:rPr>
                <w:rFonts w:ascii="Calibri" w:cs="Calibri" w:eastAsia="Calibri" w:hAnsi="Calibri"/>
                <w:sz w:val="18"/>
                <w:szCs w:val="18"/>
              </w:rPr>
              <w:t xml:space="preserve"> Do not title it a tax invoice and do not show a GST line</w:t>
            </w:r>
          </w:p>
        </w:tc>
      </w:tr>
    </w:tbl>
    <w:p>
      <w:pPr>
        <w:spacing w:after="120"/>
      </w:pPr>
    </w:p>
    <w:p>
      <w:pPr>
        <w:keepNext/>
        <w:spacing w:after="120" w:before="280"/>
        <w:outlineLvl w:val="0"/>
      </w:pPr>
      <w:r>
        <w:rPr>
          <w:rFonts w:ascii="Calibri" w:cs="Calibri" w:eastAsia="Calibri" w:hAnsi="Calibri"/>
          <w:b/>
          <w:bCs/>
          <w:color w:val="14161B"/>
          <w:sz w:val="22"/>
          <w:szCs w:val="22"/>
        </w:rPr>
        <w:t xml:space="preserve">3. RATE, CURRENCY AND INVOICENOW</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GST rate rose to </w:t>
      </w:r>
      <w:r>
        <w:rPr>
          <w:rFonts w:ascii="Calibri" w:cs="Calibri" w:eastAsia="Calibri" w:hAnsi="Calibri"/>
          <w:b/>
          <w:bCs/>
          <w:sz w:val="21"/>
          <w:szCs w:val="21"/>
        </w:rPr>
        <w:t xml:space="preserve">8% from 1 January 2023</w:t>
      </w:r>
      <w:r>
        <w:rPr>
          <w:rFonts w:ascii="Calibri" w:cs="Calibri" w:eastAsia="Calibri" w:hAnsi="Calibri"/>
          <w:sz w:val="21"/>
          <w:szCs w:val="21"/>
        </w:rPr>
        <w:t xml:space="preserve"> and to </w:t>
      </w:r>
      <w:r>
        <w:rPr>
          <w:rFonts w:ascii="Calibri" w:cs="Calibri" w:eastAsia="Calibri" w:hAnsi="Calibri"/>
          <w:b/>
          <w:bCs/>
          <w:sz w:val="21"/>
          <w:szCs w:val="21"/>
        </w:rPr>
        <w:t xml:space="preserve">9% from 1 January 2024</w:t>
      </w:r>
      <w:r>
        <w:rPr>
          <w:rFonts w:ascii="Calibri" w:cs="Calibri" w:eastAsia="Calibri" w:hAnsi="Calibri"/>
          <w:sz w:val="21"/>
          <w:szCs w:val="21"/>
        </w:rPr>
        <w:t xml:space="preserve">. Where a supply straddles a rate change, transitional rules determine which rate applies — take advice rather than assuming the invoice date governs.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the invoice is issued in a </w:t>
      </w:r>
      <w:r>
        <w:rPr>
          <w:rFonts w:ascii="Calibri" w:cs="Calibri" w:eastAsia="Calibri" w:hAnsi="Calibri"/>
          <w:b/>
          <w:bCs/>
          <w:sz w:val="21"/>
          <w:szCs w:val="21"/>
        </w:rPr>
        <w:t xml:space="preserve">foreign currency</w:t>
      </w:r>
      <w:r>
        <w:rPr>
          <w:rFonts w:ascii="Calibri" w:cs="Calibri" w:eastAsia="Calibri" w:hAnsi="Calibri"/>
          <w:sz w:val="21"/>
          <w:szCs w:val="21"/>
        </w:rPr>
        <w:t xml:space="preserve">, the GST amount must also be shown in </w:t>
      </w:r>
      <w:r>
        <w:rPr>
          <w:rFonts w:ascii="Calibri" w:cs="Calibri" w:eastAsia="Calibri" w:hAnsi="Calibri"/>
          <w:b/>
          <w:bCs/>
          <w:sz w:val="21"/>
          <w:szCs w:val="21"/>
        </w:rPr>
        <w:t xml:space="preserve">Singapore dollars</w:t>
      </w:r>
      <w:r>
        <w:rPr>
          <w:rFonts w:ascii="Calibri" w:cs="Calibri" w:eastAsia="Calibri" w:hAnsi="Calibri"/>
          <w:sz w:val="21"/>
          <w:szCs w:val="21"/>
        </w:rPr>
        <w:t xml:space="preserve">, converted at an accepted rate.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InvoiceNow</w:t>
      </w:r>
      <w:r>
        <w:rPr>
          <w:rFonts w:ascii="Calibri" w:cs="Calibri" w:eastAsia="Calibri" w:hAnsi="Calibri"/>
          <w:sz w:val="21"/>
          <w:szCs w:val="21"/>
        </w:rPr>
        <w:t xml:space="preserve"> e-invoicing is being phased in for GST-registered businesses. Confirm the current phase and whether it applies to you — see the InvoiceNow readiness checklist in this library.</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Retain invoices and supporting records for the statutory period.</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Eleven fields, and the word matters</w:t>
      </w:r>
    </w:p>
    <w:p>
      <w:pPr>
        <w:spacing w:after="60" w:line="264"/>
        <w:jc w:val="both"/>
      </w:pPr>
      <w:r>
        <w:rPr>
          <w:rFonts w:ascii="Calibri" w:cs="Calibri" w:eastAsia="Calibri" w:hAnsi="Calibri"/>
          <w:sz w:val="19"/>
          <w:szCs w:val="19"/>
        </w:rPr>
        <w:t xml:space="preserve">A standard tax invoice must carry all eleven fields. The one most often missed is the simplest: the document must say </w:t>
      </w:r>
      <w:r>
        <w:rPr>
          <w:rFonts w:ascii="Calibri" w:cs="Calibri" w:eastAsia="Calibri" w:hAnsi="Calibri"/>
          <w:b/>
          <w:bCs/>
          <w:sz w:val="19"/>
          <w:szCs w:val="19"/>
        </w:rPr>
        <w:t xml:space="preserve">"Tax Invoice"</w:t>
      </w:r>
      <w:r>
        <w:rPr>
          <w:rFonts w:ascii="Calibri" w:cs="Calibri" w:eastAsia="Calibri" w:hAnsi="Calibri"/>
          <w:sz w:val="19"/>
          <w:szCs w:val="19"/>
        </w:rPr>
        <w:t xml:space="preserve">, prominently. A document headed merely "Invoice" is not a valid tax invoice, and a customer whose input tax claim is disallowed for that reason will come back to you.</w:t>
      </w:r>
    </w:p>
    <w:p>
      <w:pPr>
        <w:keepNext/>
        <w:spacing w:after="40" w:before="140"/>
      </w:pPr>
      <w:r>
        <w:rPr>
          <w:rFonts w:ascii="Calibri" w:cs="Calibri" w:eastAsia="Calibri" w:hAnsi="Calibri"/>
          <w:b/>
          <w:bCs/>
          <w:color w:val="14161B"/>
          <w:sz w:val="20"/>
          <w:szCs w:val="20"/>
        </w:rPr>
        <w:t xml:space="preserve">The rate is 9 per cent</w:t>
      </w:r>
    </w:p>
    <w:p>
      <w:pPr>
        <w:spacing w:after="60" w:line="264"/>
        <w:jc w:val="both"/>
      </w:pPr>
      <w:r>
        <w:rPr>
          <w:rFonts w:ascii="Calibri" w:cs="Calibri" w:eastAsia="Calibri" w:hAnsi="Calibri"/>
          <w:sz w:val="19"/>
          <w:szCs w:val="19"/>
        </w:rPr>
        <w:t xml:space="preserve">The rate rose to 9 per cent with effect from 1 January 2024, having been 8 per cent in 2023 and 7 per cent before. Templates, accounting configurations and quotation documents carried over from earlier years are a recurring source of under-charging, and the shortfall is the supplier’s to bear.</w:t>
      </w:r>
    </w:p>
    <w:p>
      <w:pPr>
        <w:keepNext/>
        <w:spacing w:after="40" w:before="140"/>
      </w:pPr>
      <w:r>
        <w:rPr>
          <w:rFonts w:ascii="Calibri" w:cs="Calibri" w:eastAsia="Calibri" w:hAnsi="Calibri"/>
          <w:b/>
          <w:bCs/>
          <w:color w:val="14161B"/>
          <w:sz w:val="20"/>
          <w:szCs w:val="20"/>
        </w:rPr>
        <w:t xml:space="preserve">Simplified invoices below S$1,000</w:t>
      </w:r>
    </w:p>
    <w:p>
      <w:pPr>
        <w:spacing w:after="60" w:line="264"/>
        <w:jc w:val="both"/>
      </w:pPr>
      <w:r>
        <w:rPr>
          <w:rFonts w:ascii="Calibri" w:cs="Calibri" w:eastAsia="Calibri" w:hAnsi="Calibri"/>
          <w:sz w:val="19"/>
          <w:szCs w:val="19"/>
        </w:rPr>
        <w:t xml:space="preserve">Where the total payable including tax does not exceed S$1,000, a simplified tax invoice may be issued, which need not carry every field — in particular the customer’s name and address may be omitted. Confirm the current requirements before relying on the simplification, and note the threshold is on the total </w:t>
      </w:r>
      <w:r>
        <w:rPr>
          <w:rFonts w:ascii="Calibri" w:cs="Calibri" w:eastAsia="Calibri" w:hAnsi="Calibri"/>
          <w:b/>
          <w:bCs/>
          <w:sz w:val="19"/>
          <w:szCs w:val="19"/>
        </w:rPr>
        <w:t xml:space="preserve">including</w:t>
      </w:r>
      <w:r>
        <w:rPr>
          <w:rFonts w:ascii="Calibri" w:cs="Calibri" w:eastAsia="Calibri" w:hAnsi="Calibri"/>
          <w:sz w:val="19"/>
          <w:szCs w:val="19"/>
        </w:rPr>
        <w:t xml:space="preserve"> tax.</w:t>
      </w:r>
    </w:p>
    <w:p>
      <w:pPr>
        <w:keepNext/>
        <w:spacing w:after="40" w:before="140"/>
      </w:pPr>
      <w:r>
        <w:rPr>
          <w:rFonts w:ascii="Calibri" w:cs="Calibri" w:eastAsia="Calibri" w:hAnsi="Calibri"/>
          <w:b/>
          <w:bCs/>
          <w:color w:val="14161B"/>
          <w:sz w:val="20"/>
          <w:szCs w:val="20"/>
        </w:rPr>
        <w:t xml:space="preserve">GST must be shown in Singapore dollars</w:t>
      </w:r>
    </w:p>
    <w:p>
      <w:pPr>
        <w:spacing w:after="60" w:line="264"/>
        <w:jc w:val="both"/>
      </w:pPr>
      <w:r>
        <w:rPr>
          <w:rFonts w:ascii="Calibri" w:cs="Calibri" w:eastAsia="Calibri" w:hAnsi="Calibri"/>
          <w:sz w:val="19"/>
          <w:szCs w:val="19"/>
        </w:rPr>
        <w:t xml:space="preserve">Where an invoice is issued in a foreign currency, the tax amount must still be expressed in Singapore dollars, converted at an accepted rate. Recording the rate and its source on the invoice, as the summary table does, avoids an argument at audit about which rate was used.</w:t>
      </w:r>
    </w:p>
    <w:p>
      <w:pPr>
        <w:keepNext/>
        <w:spacing w:after="40" w:before="140"/>
      </w:pPr>
      <w:r>
        <w:rPr>
          <w:rFonts w:ascii="Calibri" w:cs="Calibri" w:eastAsia="Calibri" w:hAnsi="Calibri"/>
          <w:b/>
          <w:bCs/>
          <w:color w:val="14161B"/>
          <w:sz w:val="20"/>
          <w:szCs w:val="20"/>
        </w:rPr>
        <w:t xml:space="preserve">Zero-rated is not exempt</w:t>
      </w:r>
    </w:p>
    <w:p>
      <w:pPr>
        <w:spacing w:after="60" w:line="264"/>
        <w:jc w:val="both"/>
      </w:pPr>
      <w:r>
        <w:rPr>
          <w:rFonts w:ascii="Calibri" w:cs="Calibri" w:eastAsia="Calibri" w:hAnsi="Calibri"/>
          <w:sz w:val="19"/>
          <w:szCs w:val="19"/>
        </w:rPr>
        <w:t xml:space="preserve">Zero-rated supplies are taxable at nil per cent and carry the right to claim input tax. Exempt supplies are outside the charge and affect input tax recovery. Treating an export as exempt, or a financial service as zero-rated, produces the wrong return and the wrong input tax position. Classify per line, not per invoice.</w:t>
      </w:r>
    </w:p>
    <w:p>
      <w:pPr>
        <w:keepNext/>
        <w:spacing w:after="40" w:before="140"/>
      </w:pPr>
      <w:r>
        <w:rPr>
          <w:rFonts w:ascii="Calibri" w:cs="Calibri" w:eastAsia="Calibri" w:hAnsi="Calibri"/>
          <w:b/>
          <w:bCs/>
          <w:color w:val="14161B"/>
          <w:sz w:val="20"/>
          <w:szCs w:val="20"/>
        </w:rPr>
        <w:t xml:space="preserve">Export evidence, or standard-rate it</w:t>
      </w:r>
    </w:p>
    <w:p>
      <w:pPr>
        <w:spacing w:after="60" w:line="264"/>
        <w:jc w:val="both"/>
      </w:pPr>
      <w:r>
        <w:rPr>
          <w:rFonts w:ascii="Calibri" w:cs="Calibri" w:eastAsia="Calibri" w:hAnsi="Calibri"/>
          <w:sz w:val="19"/>
          <w:szCs w:val="19"/>
        </w:rPr>
        <w:t xml:space="preserve">Zero-rating an export depends on holding the required documentary evidence of export within the prescribed period. Where the evidence is not obtained, the supply must be standard-rated and the tax accounted for. Chase the evidence at the time, not at audit — by then the customer has no reason to help.</w:t>
      </w:r>
    </w:p>
    <w:p>
      <w:pPr>
        <w:keepNext/>
        <w:spacing w:after="40" w:before="140"/>
      </w:pPr>
      <w:r>
        <w:rPr>
          <w:rFonts w:ascii="Calibri" w:cs="Calibri" w:eastAsia="Calibri" w:hAnsi="Calibri"/>
          <w:b/>
          <w:bCs/>
          <w:color w:val="14161B"/>
          <w:sz w:val="20"/>
          <w:szCs w:val="20"/>
        </w:rPr>
        <w:t xml:space="preserve">Serial numbering, no gaps</w:t>
      </w:r>
    </w:p>
    <w:p>
      <w:pPr>
        <w:spacing w:after="60" w:line="264"/>
        <w:jc w:val="both"/>
      </w:pPr>
      <w:r>
        <w:rPr>
          <w:rFonts w:ascii="Calibri" w:cs="Calibri" w:eastAsia="Calibri" w:hAnsi="Calibri"/>
          <w:sz w:val="19"/>
          <w:szCs w:val="19"/>
        </w:rPr>
        <w:t xml:space="preserve">Invoice numbers must be identifying and sequential. Separate series for branches or supply types are acceptable if each series is itself sequential. Gaps, duplicates and mid-year restarts are among the first things an audit examines, because they suggest invoices issued and not reported.</w:t>
      </w:r>
    </w:p>
    <w:p>
      <w:pPr>
        <w:keepNext/>
        <w:spacing w:after="40" w:before="140"/>
      </w:pPr>
      <w:r>
        <w:rPr>
          <w:rFonts w:ascii="Calibri" w:cs="Calibri" w:eastAsia="Calibri" w:hAnsi="Calibri"/>
          <w:b/>
          <w:bCs/>
          <w:color w:val="14161B"/>
          <w:sz w:val="20"/>
          <w:szCs w:val="20"/>
        </w:rPr>
        <w:t xml:space="preserve">Do not charge GST if you are not registered</w:t>
      </w:r>
    </w:p>
    <w:p>
      <w:pPr>
        <w:spacing w:after="60" w:line="264"/>
        <w:jc w:val="both"/>
      </w:pPr>
      <w:r>
        <w:rPr>
          <w:rFonts w:ascii="Calibri" w:cs="Calibri" w:eastAsia="Calibri" w:hAnsi="Calibri"/>
          <w:sz w:val="19"/>
          <w:szCs w:val="19"/>
        </w:rPr>
        <w:t xml:space="preserve">Charging tax while unregistered is an offence, and it is a surprisingly common error among businesses that have applied for registration and started invoicing before it takes effect. Charge from the effective date of registration, not from the application.</w:t>
      </w:r>
    </w:p>
    <w:p>
      <w:pPr>
        <w:keepNext/>
        <w:spacing w:after="40" w:before="140"/>
      </w:pPr>
      <w:r>
        <w:rPr>
          <w:rFonts w:ascii="Calibri" w:cs="Calibri" w:eastAsia="Calibri" w:hAnsi="Calibri"/>
          <w:b/>
          <w:bCs/>
          <w:color w:val="14161B"/>
          <w:sz w:val="20"/>
          <w:szCs w:val="20"/>
        </w:rPr>
        <w:t xml:space="preserve">InvoiceNow is being phased in to 2031</w:t>
      </w:r>
    </w:p>
    <w:p>
      <w:pPr>
        <w:spacing w:after="60" w:line="264"/>
        <w:jc w:val="both"/>
      </w:pPr>
      <w:r>
        <w:rPr>
          <w:rFonts w:ascii="Calibri" w:cs="Calibri" w:eastAsia="Calibri" w:hAnsi="Calibri"/>
          <w:sz w:val="19"/>
          <w:szCs w:val="19"/>
        </w:rPr>
        <w:t xml:space="preserve">GST-registered businesses are progressively required to transmit invoice data to the authority through the national e-invoicing network, which operates on the Peppol standard. The requirement began in November 2025 for newly incorporated companies registering voluntarily, extended in April 2026 to all new voluntary registrants, and is being extended to all GST-registered businesses in phases through to April 2031. Existing registrants are being notified of their date. Check your own date rather than assuming it is distant.</w:t>
      </w:r>
    </w:p>
    <w:p>
      <w:pPr>
        <w:keepNext/>
        <w:spacing w:after="40" w:before="140"/>
      </w:pPr>
      <w:r>
        <w:rPr>
          <w:rFonts w:ascii="Calibri" w:cs="Calibri" w:eastAsia="Calibri" w:hAnsi="Calibri"/>
          <w:b/>
          <w:bCs/>
          <w:color w:val="14161B"/>
          <w:sz w:val="20"/>
          <w:szCs w:val="20"/>
        </w:rPr>
        <w:t xml:space="preserve">E-invoicing is transmission, not just format</w:t>
      </w:r>
    </w:p>
    <w:p>
      <w:pPr>
        <w:spacing w:after="60" w:line="264"/>
        <w:jc w:val="both"/>
      </w:pPr>
      <w:r>
        <w:rPr>
          <w:rFonts w:ascii="Calibri" w:cs="Calibri" w:eastAsia="Calibri" w:hAnsi="Calibri"/>
          <w:sz w:val="19"/>
          <w:szCs w:val="19"/>
        </w:rPr>
        <w:t xml:space="preserve">The obligation is to transmit prescribed invoice data to the authority through an accredited channel, not merely to produce a structured file. That means the accounting system, the access point and the data quality all matter — incomplete or invalid submissions are rejected. Budget time for the system work rather than treating it as a template change.</w:t>
      </w:r>
    </w:p>
    <w:p>
      <w:pPr>
        <w:keepNext/>
        <w:spacing w:after="40" w:before="140"/>
      </w:pPr>
      <w:r>
        <w:rPr>
          <w:rFonts w:ascii="Calibri" w:cs="Calibri" w:eastAsia="Calibri" w:hAnsi="Calibri"/>
          <w:b/>
          <w:bCs/>
          <w:color w:val="14161B"/>
          <w:sz w:val="20"/>
          <w:szCs w:val="20"/>
        </w:rPr>
        <w:t xml:space="preserve">Correct by credit or debit note, not by editing</w:t>
      </w:r>
    </w:p>
    <w:p>
      <w:pPr>
        <w:spacing w:after="60" w:line="264"/>
        <w:jc w:val="both"/>
      </w:pPr>
      <w:r>
        <w:rPr>
          <w:rFonts w:ascii="Calibri" w:cs="Calibri" w:eastAsia="Calibri" w:hAnsi="Calibri"/>
          <w:sz w:val="19"/>
          <w:szCs w:val="19"/>
        </w:rPr>
        <w:t xml:space="preserve">An invoice already issued and reported cannot be edited. Issue a credit or debit note carrying its own particulars and referencing the original invoice, and report it in the correct period. Replacing an invoice quietly leaves the customer holding a document that no longer matches your records.</w:t>
      </w:r>
    </w:p>
    <w:p>
      <w:pPr>
        <w:keepNext/>
        <w:spacing w:after="40" w:before="140"/>
      </w:pPr>
      <w:r>
        <w:rPr>
          <w:rFonts w:ascii="Calibri" w:cs="Calibri" w:eastAsia="Calibri" w:hAnsi="Calibri"/>
          <w:b/>
          <w:bCs/>
          <w:color w:val="14161B"/>
          <w:sz w:val="20"/>
          <w:szCs w:val="20"/>
        </w:rPr>
        <w:t xml:space="preserve">Time of supply drives the period</w:t>
      </w:r>
    </w:p>
    <w:p>
      <w:pPr>
        <w:spacing w:after="60" w:line="264"/>
        <w:jc w:val="both"/>
      </w:pPr>
      <w:r>
        <w:rPr>
          <w:rFonts w:ascii="Calibri" w:cs="Calibri" w:eastAsia="Calibri" w:hAnsi="Calibri"/>
          <w:sz w:val="19"/>
          <w:szCs w:val="19"/>
        </w:rPr>
        <w:t xml:space="preserve">The period in which tax is accounted for is determined by the time of supply rules, not by when the invoice happens to be raised. Invoicing late shifts the reporting period and creates a mismatch with the customer’s claim, which is exactly what reconciliation exercises surface.</w:t>
      </w:r>
    </w:p>
    <w:p>
      <w:pPr>
        <w:keepNext/>
        <w:spacing w:after="40" w:before="140"/>
      </w:pPr>
      <w:r>
        <w:rPr>
          <w:rFonts w:ascii="Calibri" w:cs="Calibri" w:eastAsia="Calibri" w:hAnsi="Calibri"/>
          <w:b/>
          <w:bCs/>
          <w:color w:val="14161B"/>
          <w:sz w:val="20"/>
          <w:szCs w:val="20"/>
        </w:rPr>
        <w:t xml:space="preserve">Registration threshold and voluntary registration</w:t>
      </w:r>
    </w:p>
    <w:p>
      <w:pPr>
        <w:spacing w:after="60" w:line="264"/>
        <w:jc w:val="both"/>
      </w:pPr>
      <w:r>
        <w:rPr>
          <w:rFonts w:ascii="Calibri" w:cs="Calibri" w:eastAsia="Calibri" w:hAnsi="Calibri"/>
          <w:sz w:val="19"/>
          <w:szCs w:val="19"/>
        </w:rPr>
        <w:t xml:space="preserve">Registration is compulsory once taxable turnover exceeds the prescribed threshold on a retrospective or prospective basis. Voluntary registration is possible below it but carries conditions, including a minimum period of registration and, increasingly, the e-invoicing requirement. Monitor turnover against the threshold rather than discovering it late.</w:t>
      </w:r>
    </w:p>
    <w:p>
      <w:pPr>
        <w:keepNext/>
        <w:spacing w:after="40" w:before="140"/>
      </w:pPr>
      <w:r>
        <w:rPr>
          <w:rFonts w:ascii="Calibri" w:cs="Calibri" w:eastAsia="Calibri" w:hAnsi="Calibri"/>
          <w:b/>
          <w:bCs/>
          <w:color w:val="14161B"/>
          <w:sz w:val="20"/>
          <w:szCs w:val="20"/>
        </w:rPr>
        <w:t xml:space="preserve">Retention</w:t>
      </w:r>
    </w:p>
    <w:p>
      <w:pPr>
        <w:spacing w:after="60" w:line="264"/>
        <w:jc w:val="both"/>
      </w:pPr>
      <w:r>
        <w:rPr>
          <w:rFonts w:ascii="Calibri" w:cs="Calibri" w:eastAsia="Calibri" w:hAnsi="Calibri"/>
          <w:sz w:val="19"/>
          <w:szCs w:val="19"/>
        </w:rPr>
        <w:t xml:space="preserve">Invoices, credit and debit notes, export evidence and the underlying records must be retained for the statutory period, and longer where a matter is under review. Retain the transmitted data as well as the document itself.</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rate, the simplified invoice threshold, mandatory field requirements, the e-invoicing timetable and the registration threshold all change — confirm each with the Inland Revenue Authority of Singapore or a tax adviser, and review your accounting configuration whenever your registration status or turnover band changes.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2026-08-24T17:51:02.411Z</dcterms:created>
  <dcterms:modified xsi:type="dcterms:W3CDTF">2026-08-24T17:51:02.411Z</dcterms:modified>
</cp:coreProperties>
</file>

<file path=docProps/custom.xml><?xml version="1.0" encoding="utf-8"?>
<Properties xmlns="http://schemas.openxmlformats.org/officeDocument/2006/custom-properties" xmlns:vt="http://schemas.openxmlformats.org/officeDocument/2006/docPropsVTypes"/>
</file>