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EXECUTIVE EMPLOYMENT AGREEMENT</w:t>
      </w:r>
    </w:p>
    <w:p>
      <w:pPr>
        <w:spacing w:after="260"/>
        <w:jc w:val="center"/>
      </w:pP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and </w:t>
      </w:r>
      <w:r>
        <w:rPr>
          <w:rFonts w:ascii="Calibri" w:cs="Calibri" w:eastAsia="Calibri" w:hAnsi="Calibri"/>
          <w:b/>
          <w:bCs/>
          <w:i/>
          <w:iCs/>
          <w:color w:val="6E7480"/>
          <w:sz w:val="19"/>
          <w:szCs w:val="19"/>
        </w:rPr>
        <w:t xml:space="preserve">[EXECUTIVE NAME]</w:t>
      </w:r>
    </w:p>
    <w:p>
      <w:pPr>
        <w:spacing w:after="180" w:before="0" w:line="276"/>
        <w:jc w:val="both"/>
      </w:pPr>
      <w:r>
        <w:rPr>
          <w:rFonts w:ascii="Calibri" w:cs="Calibri" w:eastAsia="Calibri" w:hAnsi="Calibri"/>
          <w:i/>
          <w:iCs/>
          <w:color w:val="6E7480"/>
          <w:sz w:val="21"/>
          <w:szCs w:val="21"/>
        </w:rPr>
        <w:t xml:space="preserve">Senior appointments carry three complications an ordinary contract does not: the executive is usually outside Part IV, often holds a directorship that does not end with employment, and is the one person whose restrictive covenants a court is most likely to enforce — and therefore the one whose covenants most repay careful drafting.</w:t>
      </w:r>
    </w:p>
    <w:p>
      <w:pPr>
        <w:spacing w:after="140" w:before="0" w:line="276"/>
        <w:jc w:val="both"/>
      </w:pPr>
      <w:r>
        <w:rPr>
          <w:rFonts w:ascii="Calibri" w:cs="Calibri" w:eastAsia="Calibri" w:hAnsi="Calibri"/>
          <w:b/>
          <w:bCs/>
          <w:sz w:val="21"/>
          <w:szCs w:val="21"/>
        </w:rPr>
        <w:t xml:space="preserve">THIS AGREEMENT</w:t>
      </w:r>
      <w:r>
        <w:rPr>
          <w:rFonts w:ascii="Calibri" w:cs="Calibri" w:eastAsia="Calibri" w:hAnsi="Calibri"/>
          <w:sz w:val="21"/>
          <w:szCs w:val="21"/>
        </w:rPr>
        <w:t xml:space="preserve"> is made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BETWEEN:</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a company incorporated in Singapore with UEN </w:t>
      </w:r>
      <w:r>
        <w:rPr>
          <w:rFonts w:ascii="Calibri" w:cs="Calibri" w:eastAsia="Calibri" w:hAnsi="Calibri"/>
          <w:b/>
          <w:bCs/>
          <w:sz w:val="21"/>
          <w:szCs w:val="21"/>
        </w:rPr>
        <w:t xml:space="preserve">[UEN]</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[EXECUTIVE NAME]</w:t>
      </w:r>
      <w:r>
        <w:rPr>
          <w:rFonts w:ascii="Calibri" w:cs="Calibri" w:eastAsia="Calibri" w:hAnsi="Calibri"/>
          <w:sz w:val="21"/>
          <w:szCs w:val="21"/>
        </w:rPr>
        <w:t xml:space="preserve">, holding </w:t>
      </w:r>
      <w:r>
        <w:rPr>
          <w:rFonts w:ascii="Calibri" w:cs="Calibri" w:eastAsia="Calibri" w:hAnsi="Calibri"/>
          <w:b/>
          <w:bCs/>
          <w:sz w:val="21"/>
          <w:szCs w:val="21"/>
        </w:rPr>
        <w:t xml:space="preserve">[NRIC / FIN]</w:t>
      </w:r>
      <w:r>
        <w:rPr>
          <w:rFonts w:ascii="Calibri" w:cs="Calibri" w:eastAsia="Calibri" w:hAnsi="Calibri"/>
          <w:sz w:val="21"/>
          <w:szCs w:val="21"/>
        </w:rPr>
        <w:t xml:space="preserve"> number </w:t>
      </w:r>
      <w:r>
        <w:rPr>
          <w:rFonts w:ascii="Calibri" w:cs="Calibri" w:eastAsia="Calibri" w:hAnsi="Calibri"/>
          <w:b/>
          <w:bCs/>
          <w:sz w:val="21"/>
          <w:szCs w:val="21"/>
        </w:rPr>
        <w:t xml:space="preserve">[NUMBER]</w:t>
      </w:r>
      <w:r>
        <w:rPr>
          <w:rFonts w:ascii="Calibri" w:cs="Calibri" w:eastAsia="Calibri" w:hAnsi="Calibri"/>
          <w:sz w:val="21"/>
          <w:szCs w:val="21"/>
        </w:rPr>
        <w:t xml:space="preserve"> (the "</w:t>
      </w:r>
      <w:r>
        <w:rPr>
          <w:rFonts w:ascii="Calibri" w:cs="Calibri" w:eastAsia="Calibri" w:hAnsi="Calibri"/>
          <w:b/>
          <w:bCs/>
          <w:sz w:val="21"/>
          <w:szCs w:val="21"/>
        </w:rPr>
        <w:t xml:space="preserve">Executive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 APPOINTMENT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Position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[JOB TITLE]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to</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Board / the Chief Executive Officer]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Commencement date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appointment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Executive will be appointed a director of the Company / Not applicable]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work</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Act Part IV</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covered</w:t>
            </w:r>
            <w:r>
              <w:rPr>
                <w:rFonts w:ascii="Calibri" w:cs="Calibri" w:eastAsia="Calibri" w:hAnsi="Calibri"/>
                <w:sz w:val="19"/>
                <w:szCs w:val="19"/>
              </w:rPr>
              <w:t xml:space="preserve"> — the Executive is a manager or executive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 / Not applicable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 by either party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pass required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 / Employment Pass]</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appoints the Executive on the terms of this Agreement, and the Executive accepts.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[Where a work pass is required]</w:t>
      </w:r>
      <w:r>
        <w:rPr>
          <w:rFonts w:ascii="Calibri" w:cs="Calibri" w:eastAsia="Calibri" w:hAnsi="Calibri"/>
          <w:sz w:val="21"/>
          <w:szCs w:val="21"/>
        </w:rPr>
        <w:t xml:space="preserve"> This Agreement is conditional on the Executive holding a valid work pass permitting employment with the Company in this role. If the pass is not granted, is revoked or expires, this Agreement terminates automatically on that date without notice or payment in lieu.</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Executive warrants that entering into this Agreement and performing the duties will not breach any obligation owed to a former employer, including any restrictive covenant, garden leave provision or confidentiality obligation.</w:t>
      </w:r>
    </w:p>
    <w:p>
      <w:pPr>
        <w:keepNext/>
        <w:spacing w:after="120" w:before="280"/>
        <w:outlineLvl w:val="0"/>
      </w:pPr>
      <w:r>
        <w:rPr>
          <w:rFonts w:ascii="Calibri" w:cs="Calibri" w:eastAsia="Calibri" w:hAnsi="Calibri"/>
          <w:b/>
          <w:bCs/>
          <w:color w:val="14161B"/>
          <w:sz w:val="22"/>
          <w:szCs w:val="22"/>
        </w:rPr>
        <w:t xml:space="preserve">2. DUTIES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Executive shall </w:t>
      </w:r>
      <w:r>
        <w:rPr>
          <w:rFonts w:ascii="Calibri" w:cs="Calibri" w:eastAsia="Calibri" w:hAnsi="Calibri"/>
          <w:b/>
          <w:bCs/>
          <w:sz w:val="21"/>
          <w:szCs w:val="21"/>
        </w:rPr>
        <w:t xml:space="preserve">[SET OUT THE PRINCIPAL ACCOUNTABILITIES — four or five, specific to the role, not a generic list]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Executive shall devote the whole of their working time and attention to the business of the Company and its related corporations.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Executive shall not, without the prior written consent of the Board, hold any other office, directorship, consultancy or employment, whether or not for reward. </w:t>
      </w:r>
      <w:r>
        <w:rPr>
          <w:rFonts w:ascii="Calibri" w:cs="Calibri" w:eastAsia="Calibri" w:hAnsi="Calibri"/>
          <w:i/>
          <w:iCs/>
          <w:sz w:val="21"/>
          <w:szCs w:val="21"/>
        </w:rPr>
        <w:t xml:space="preserve">Consent should not be withheld unreasonably for a non-competing non-executive role that does not affect performance — many senior candidates hold one and it is often to the Company’s benefit.</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Executive shall comply with the constitution of the Company, the Board’s delegated authorities, all applicable law, and the Company’s policies.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Executive shall promptly disclose to the Board any actual or potential conflict of interest, any interest in a transaction of the Company, and any approach from a competitor concerning employment or a business opportunity.</w:t>
      </w:r>
    </w:p>
    <w:p>
      <w:pPr>
        <w:keepNext/>
        <w:spacing w:after="120" w:before="280"/>
        <w:outlineLvl w:val="0"/>
      </w:pPr>
      <w:r>
        <w:rPr>
          <w:rFonts w:ascii="Calibri" w:cs="Calibri" w:eastAsia="Calibri" w:hAnsi="Calibri"/>
          <w:b/>
          <w:bCs/>
          <w:color w:val="14161B"/>
          <w:sz w:val="22"/>
          <w:szCs w:val="22"/>
        </w:rPr>
        <w:t xml:space="preserve">3. DIRECTORSHIP</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[Where the Executive is or becomes a director]</w:t>
      </w:r>
      <w:r>
        <w:rPr>
          <w:rFonts w:ascii="Calibri" w:cs="Calibri" w:eastAsia="Calibri" w:hAnsi="Calibri"/>
          <w:sz w:val="21"/>
          <w:szCs w:val="21"/>
        </w:rPr>
        <w:t xml:space="preserve"> The Executive shall act in accordance with their duties as a director, including the duty to act honestly and in the best interests of the Company, to exercise reasonable diligence, and to </w:t>
      </w:r>
      <w:r>
        <w:rPr>
          <w:rFonts w:ascii="Calibri" w:cs="Calibri" w:eastAsia="Calibri" w:hAnsi="Calibri"/>
          <w:b/>
          <w:bCs/>
          <w:sz w:val="21"/>
          <w:szCs w:val="21"/>
        </w:rPr>
        <w:t xml:space="preserve">declare the nature and extent of any interest</w:t>
      </w:r>
      <w:r>
        <w:rPr>
          <w:rFonts w:ascii="Calibri" w:cs="Calibri" w:eastAsia="Calibri" w:hAnsi="Calibri"/>
          <w:sz w:val="21"/>
          <w:szCs w:val="21"/>
        </w:rPr>
        <w:t xml:space="preserve"> in a transaction or proposed transaction with the Company.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Executive shall resign from the office of director, and from any office in a related corporation, </w:t>
      </w:r>
      <w:r>
        <w:rPr>
          <w:rFonts w:ascii="Calibri" w:cs="Calibri" w:eastAsia="Calibri" w:hAnsi="Calibri"/>
          <w:b/>
          <w:bCs/>
          <w:sz w:val="21"/>
          <w:szCs w:val="21"/>
        </w:rPr>
        <w:t xml:space="preserve">on the termination of this Agreement</w:t>
      </w:r>
      <w:r>
        <w:rPr>
          <w:rFonts w:ascii="Calibri" w:cs="Calibri" w:eastAsia="Calibri" w:hAnsi="Calibri"/>
          <w:sz w:val="21"/>
          <w:szCs w:val="21"/>
        </w:rPr>
        <w:t xml:space="preserve"> or earlier on request by the Board, and irrevocably appoints the Company as attorney to execute any document required to effect that resignation where the Executive fails to do so.</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removal of the Executive from office as a director does not of itself terminate this Agreement, and termination of this Agreement does not of itself remove the Executive from office. </w:t>
      </w:r>
      <w:r>
        <w:rPr>
          <w:rFonts w:ascii="Calibri" w:cs="Calibri" w:eastAsia="Calibri" w:hAnsi="Calibri"/>
          <w:i/>
          <w:iCs/>
          <w:sz w:val="21"/>
          <w:szCs w:val="21"/>
        </w:rPr>
        <w:t xml:space="preserve">These are separate acts and both must be done.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Company shall maintain directors’ and officers’ liability insurance covering the Executive, on terms it considers appropriate, during the appointment and for </w:t>
      </w:r>
      <w:r>
        <w:rPr>
          <w:rFonts w:ascii="Calibri" w:cs="Calibri" w:eastAsia="Calibri" w:hAnsi="Calibri"/>
          <w:b/>
          <w:bCs/>
          <w:sz w:val="21"/>
          <w:szCs w:val="21"/>
        </w:rPr>
        <w:t xml:space="preserve">[NUMBER]</w:t>
      </w:r>
      <w:r>
        <w:rPr>
          <w:rFonts w:ascii="Calibri" w:cs="Calibri" w:eastAsia="Calibri" w:hAnsi="Calibri"/>
          <w:sz w:val="21"/>
          <w:szCs w:val="21"/>
        </w:rPr>
        <w:t xml:space="preserve"> years after it ends.</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Company shall indemnify the Executive to the fullest extent permitted by the Companies Act 1967.</w:t>
      </w:r>
    </w:p>
    <w:p>
      <w:pPr>
        <w:keepNext/>
        <w:spacing w:after="120" w:before="280"/>
        <w:outlineLvl w:val="0"/>
      </w:pPr>
      <w:r>
        <w:rPr>
          <w:rFonts w:ascii="Calibri" w:cs="Calibri" w:eastAsia="Calibri" w:hAnsi="Calibri"/>
          <w:b/>
          <w:bCs/>
          <w:color w:val="14161B"/>
          <w:sz w:val="22"/>
          <w:szCs w:val="22"/>
        </w:rPr>
        <w:t xml:space="preserve">4. REMUNERATION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2505"/>
        <w:gridCol w:w="4435"/>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44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w:t>
            </w:r>
            <w:r>
              <w:rPr>
                <w:rFonts w:ascii="Calibri" w:cs="Calibri" w:eastAsia="Calibri" w:hAnsi="Calibri"/>
                <w:b/>
                <w:bCs/>
                <w:sz w:val="18"/>
                <w:szCs w:val="18"/>
              </w:rPr>
              <w:t xml:space="preserve">[AMOUNT]</w:t>
            </w:r>
            <w:r>
              <w:rPr>
                <w:rFonts w:ascii="Calibri" w:cs="Calibri" w:eastAsia="Calibri" w:hAnsi="Calibri"/>
                <w:sz w:val="18"/>
                <w:szCs w:val="18"/>
              </w:rPr>
              <w:t xml:space="preserve"> per month</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Reviewed annually by </w:t>
            </w:r>
            <w:r>
              <w:rPr>
                <w:rFonts w:ascii="Calibri" w:cs="Calibri" w:eastAsia="Calibri" w:hAnsi="Calibri"/>
                <w:b/>
                <w:bCs/>
                <w:sz w:val="18"/>
                <w:szCs w:val="18"/>
              </w:rPr>
              <w:t xml:space="preserve">[the Board / the remuneration committee]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allowances]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w:t>
            </w:r>
            <w:r>
              <w:rPr>
                <w:rFonts w:ascii="Calibri" w:cs="Calibri" w:eastAsia="Calibri" w:hAnsi="Calibri"/>
                <w:b/>
                <w:bCs/>
                <w:sz w:val="18"/>
                <w:szCs w:val="18"/>
              </w:rPr>
              <w:t xml:space="preserve">[AMOUNT]</w:t>
            </w:r>
            <w:r>
              <w:rPr>
                <w:rFonts w:ascii="Calibri" w:cs="Calibri" w:eastAsia="Calibri" w:hAnsi="Calibri"/>
                <w:sz w:val="18"/>
                <w:szCs w:val="18"/>
              </w:rPr>
              <w:t xml:space="preserve"> per month</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Itemised on the payslip</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variable bonus at target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[PERCENTAGE]</w:t>
            </w:r>
            <w:r>
              <w:rPr>
                <w:rFonts w:ascii="Calibri" w:cs="Calibri" w:eastAsia="Calibri" w:hAnsi="Calibri"/>
                <w:sz w:val="18"/>
                <w:szCs w:val="18"/>
              </w:rPr>
              <w:t xml:space="preserve"> per cent of basic salary at full achievement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Long-term incentive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w:t>
            </w:r>
            <w:r>
              <w:rPr>
                <w:rFonts w:ascii="Calibri" w:cs="Calibri" w:eastAsia="Calibri" w:hAnsi="Calibri"/>
                <w:b/>
                <w:bCs/>
                <w:sz w:val="18"/>
                <w:szCs w:val="18"/>
              </w:rPr>
              <w:t xml:space="preserve">[options / share awards]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 the Company’s share scheme, subject to its rules and a separate grant letter</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[Director’s fees]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r>
              <w:rPr>
                <w:rFonts w:ascii="Calibri" w:cs="Calibri" w:eastAsia="Calibri" w:hAnsi="Calibri"/>
                <w:sz w:val="18"/>
                <w:szCs w:val="18"/>
              </w:rPr>
              <w:t xml:space="preserve"> per annum</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[Payable / Not payable where the Executive is an employee — specify]</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Central Provident Fund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Citizens and permanent residents only, subject to the wage ceilings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[Benefits]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[Insurance, medical, car, club, relocation — describe]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Salary is paid monthly within seven days after the end of the salary period, with an itemised payslip.</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Bonus.</w:t>
      </w:r>
      <w:r>
        <w:rPr>
          <w:rFonts w:ascii="Calibri" w:cs="Calibri" w:eastAsia="Calibri" w:hAnsi="Calibri"/>
          <w:sz w:val="21"/>
          <w:szCs w:val="21"/>
        </w:rPr>
        <w:t xml:space="preserve"> The bonus is determined by </w:t>
      </w:r>
      <w:r>
        <w:rPr>
          <w:rFonts w:ascii="Calibri" w:cs="Calibri" w:eastAsia="Calibri" w:hAnsi="Calibri"/>
          <w:b/>
          <w:bCs/>
          <w:sz w:val="21"/>
          <w:szCs w:val="21"/>
        </w:rPr>
        <w:t xml:space="preserve">[the Board / the remuneration committee]</w:t>
      </w:r>
      <w:r>
        <w:rPr>
          <w:rFonts w:ascii="Calibri" w:cs="Calibri" w:eastAsia="Calibri" w:hAnsi="Calibri"/>
          <w:sz w:val="21"/>
          <w:szCs w:val="21"/>
        </w:rPr>
        <w:t xml:space="preserve"> against objectives agreed at the start of each performance year, acting reasonably and in good faith. Objectives will be agreed in writing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the start of each year. The Executive must be in employment and not under notice on the payment date to be eligible, save where employment ends by reason of death, permanent incapacity, or termination by the Company otherwise than for cause.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[Where clawback applies]</w:t>
      </w:r>
      <w:r>
        <w:rPr>
          <w:rFonts w:ascii="Calibri" w:cs="Calibri" w:eastAsia="Calibri" w:hAnsi="Calibri"/>
          <w:sz w:val="21"/>
          <w:szCs w:val="21"/>
        </w:rPr>
        <w:t xml:space="preserve"> </w:t>
      </w:r>
      <w:r>
        <w:rPr>
          <w:rFonts w:ascii="Calibri" w:cs="Calibri" w:eastAsia="Calibri" w:hAnsi="Calibri"/>
          <w:b/>
          <w:bCs/>
          <w:sz w:val="21"/>
          <w:szCs w:val="21"/>
        </w:rPr>
        <w:t xml:space="preserve">Clawback.</w:t>
      </w:r>
      <w:r>
        <w:rPr>
          <w:rFonts w:ascii="Calibri" w:cs="Calibri" w:eastAsia="Calibri" w:hAnsi="Calibri"/>
          <w:sz w:val="21"/>
          <w:szCs w:val="21"/>
        </w:rPr>
        <w:t xml:space="preserve"> The Company may recover any bonus or incentive paid where it was based on a material misstatement of results, or where the Executive is subsequently found to have committed fraud or serious misconduct in the relevant period. </w:t>
      </w:r>
      <w:r>
        <w:rPr>
          <w:rFonts w:ascii="Calibri" w:cs="Calibri" w:eastAsia="Calibri" w:hAnsi="Calibri"/>
          <w:i/>
          <w:iCs/>
          <w:sz w:val="21"/>
          <w:szCs w:val="21"/>
        </w:rPr>
        <w:t xml:space="preserve">(Recovery of sums already paid raises practical and legal difficulties — take advice before relying on this.)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Company shall reimburse expenses properly incurred, in accordance with its policy.</w:t>
      </w:r>
    </w:p>
    <w:p>
      <w:pPr>
        <w:keepNext/>
        <w:spacing w:after="120" w:before="280"/>
        <w:outlineLvl w:val="0"/>
      </w:pPr>
      <w:r>
        <w:rPr>
          <w:rFonts w:ascii="Calibri" w:cs="Calibri" w:eastAsia="Calibri" w:hAnsi="Calibri"/>
          <w:b/>
          <w:bCs/>
          <w:color w:val="14161B"/>
          <w:sz w:val="22"/>
          <w:szCs w:val="22"/>
        </w:rPr>
        <w:t xml:space="preserve">5. CONFIDENTIALITY AND INTELLECTUAL PROPERTY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Executive shall not at any time use or disclose confidential information of the Company or its related corporations, except as required for their duties or by law. This obligation has no time limit.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All intellectual property created by the Executive in the course of the employment vests in the Company, and the Executive assigns all such rights, waives moral rights to the extent permitted, and shall execute any document required.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On termination the Executive shall return all property, records, devices and credentials, and delete Company information from personal devices, personal cloud storage and personal email, confirming in writing that this has been done.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RESTRICTIVE COVENANTS</w:t>
      </w:r>
    </w:p>
    <w:p>
      <w:pPr>
        <w:spacing w:after="120" w:before="0" w:line="276"/>
        <w:jc w:val="both"/>
      </w:pPr>
      <w:r>
        <w:rPr>
          <w:rFonts w:ascii="Calibri" w:cs="Calibri" w:eastAsia="Calibri" w:hAnsi="Calibri"/>
          <w:i/>
          <w:iCs/>
          <w:sz w:val="21"/>
          <w:szCs w:val="21"/>
        </w:rPr>
        <w:t xml:space="preserve">Complete deliberately. These covenants are enforceable in Singapore only so far as reasonable, and an over-broad covenant fails entirely rather than being read down.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In this Clause, "</w:t>
      </w:r>
      <w:r>
        <w:rPr>
          <w:rFonts w:ascii="Calibri" w:cs="Calibri" w:eastAsia="Calibri" w:hAnsi="Calibri"/>
          <w:b/>
          <w:bCs/>
          <w:sz w:val="21"/>
          <w:szCs w:val="21"/>
        </w:rPr>
        <w:t xml:space="preserve">Restricted Period</w:t>
      </w:r>
      <w:r>
        <w:rPr>
          <w:rFonts w:ascii="Calibri" w:cs="Calibri" w:eastAsia="Calibri" w:hAnsi="Calibri"/>
          <w:sz w:val="21"/>
          <w:szCs w:val="21"/>
        </w:rPr>
        <w:t xml:space="preserve">" means </w:t>
      </w:r>
      <w:r>
        <w:rPr>
          <w:rFonts w:ascii="Calibri" w:cs="Calibri" w:eastAsia="Calibri" w:hAnsi="Calibri"/>
          <w:b/>
          <w:bCs/>
          <w:sz w:val="21"/>
          <w:szCs w:val="21"/>
        </w:rPr>
        <w:t xml:space="preserve">[NUMBER]</w:t>
      </w:r>
      <w:r>
        <w:rPr>
          <w:rFonts w:ascii="Calibri" w:cs="Calibri" w:eastAsia="Calibri" w:hAnsi="Calibri"/>
          <w:sz w:val="21"/>
          <w:szCs w:val="21"/>
        </w:rPr>
        <w:t xml:space="preserve"> months from the Termination Date, </w:t>
      </w:r>
      <w:r>
        <w:rPr>
          <w:rFonts w:ascii="Calibri" w:cs="Calibri" w:eastAsia="Calibri" w:hAnsi="Calibri"/>
          <w:b/>
          <w:bCs/>
          <w:sz w:val="21"/>
          <w:szCs w:val="21"/>
        </w:rPr>
        <w:t xml:space="preserve">less any period of garden leave</w:t>
      </w:r>
      <w:r>
        <w:rPr>
          <w:rFonts w:ascii="Calibri" w:cs="Calibri" w:eastAsia="Calibri" w:hAnsi="Calibri"/>
          <w:sz w:val="21"/>
          <w:szCs w:val="21"/>
        </w:rPr>
        <w:t xml:space="preserve"> served immediately before it; "</w:t>
      </w:r>
      <w:r>
        <w:rPr>
          <w:rFonts w:ascii="Calibri" w:cs="Calibri" w:eastAsia="Calibri" w:hAnsi="Calibri"/>
          <w:b/>
          <w:bCs/>
          <w:sz w:val="21"/>
          <w:szCs w:val="21"/>
        </w:rPr>
        <w:t xml:space="preserve">Restricted Business</w:t>
      </w:r>
      <w:r>
        <w:rPr>
          <w:rFonts w:ascii="Calibri" w:cs="Calibri" w:eastAsia="Calibri" w:hAnsi="Calibri"/>
          <w:sz w:val="21"/>
          <w:szCs w:val="21"/>
        </w:rPr>
        <w:t xml:space="preserve">" means </w:t>
      </w:r>
      <w:r>
        <w:rPr>
          <w:rFonts w:ascii="Calibri" w:cs="Calibri" w:eastAsia="Calibri" w:hAnsi="Calibri"/>
          <w:b/>
          <w:bCs/>
          <w:sz w:val="21"/>
          <w:szCs w:val="21"/>
        </w:rPr>
        <w:t xml:space="preserve">[THE SPECIFIC BUSINESS ACTIVITY — not the whole group, not the industry]</w:t>
      </w:r>
      <w:r>
        <w:rPr>
          <w:rFonts w:ascii="Calibri" w:cs="Calibri" w:eastAsia="Calibri" w:hAnsi="Calibri"/>
          <w:sz w:val="21"/>
          <w:szCs w:val="21"/>
        </w:rPr>
        <w:t xml:space="preserve">; and "</w:t>
      </w:r>
      <w:r>
        <w:rPr>
          <w:rFonts w:ascii="Calibri" w:cs="Calibri" w:eastAsia="Calibri" w:hAnsi="Calibri"/>
          <w:b/>
          <w:bCs/>
          <w:sz w:val="21"/>
          <w:szCs w:val="21"/>
        </w:rPr>
        <w:t xml:space="preserve">Restricted Area</w:t>
      </w:r>
      <w:r>
        <w:rPr>
          <w:rFonts w:ascii="Calibri" w:cs="Calibri" w:eastAsia="Calibri" w:hAnsi="Calibri"/>
          <w:sz w:val="21"/>
          <w:szCs w:val="21"/>
        </w:rPr>
        <w:t xml:space="preserve">" means </w:t>
      </w:r>
      <w:r>
        <w:rPr>
          <w:rFonts w:ascii="Calibri" w:cs="Calibri" w:eastAsia="Calibri" w:hAnsi="Calibri"/>
          <w:b/>
          <w:bCs/>
          <w:sz w:val="21"/>
          <w:szCs w:val="21"/>
        </w:rPr>
        <w:t xml:space="preserve">[WHERE THE COMPANY ACTUALLY TRADES AND THE EXECUTIVE ACTUALLY OPERATED]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Non-solicitation and non-dealing.</w:t>
      </w:r>
      <w:r>
        <w:rPr>
          <w:rFonts w:ascii="Calibri" w:cs="Calibri" w:eastAsia="Calibri" w:hAnsi="Calibri"/>
          <w:sz w:val="21"/>
          <w:szCs w:val="21"/>
        </w:rPr>
        <w:t xml:space="preserve"> During the Restricted Period the Executive shall not solicit, entice away, deal with or supply any person who was a customer or client of the Company, or in active negotiation to become one, with whom the Executive had material dealings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the Termination Date, in connection with the Restricted Business.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Non-solicitation of employees.</w:t>
      </w:r>
      <w:r>
        <w:rPr>
          <w:rFonts w:ascii="Calibri" w:cs="Calibri" w:eastAsia="Calibri" w:hAnsi="Calibri"/>
          <w:sz w:val="21"/>
          <w:szCs w:val="21"/>
        </w:rPr>
        <w:t xml:space="preserve"> During the Restricted Period the Executive shall not solicit, entice away, employ or engage any person who was employed by the Company in a senior, managerial, technical or sales capacity and with whom the Executive worked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the Termination Date. This does not prevent employing a person responding to a public advertisement not directed at the Company’s employees.</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Non-competition.</w:t>
      </w:r>
      <w:r>
        <w:rPr>
          <w:rFonts w:ascii="Calibri" w:cs="Calibri" w:eastAsia="Calibri" w:hAnsi="Calibri"/>
          <w:sz w:val="21"/>
          <w:szCs w:val="21"/>
        </w:rPr>
        <w:t xml:space="preserve"> During the Restricted Period the Executive shall not, within the Restricted Area, be engaged or concerned in the Restricted Business in a capacity the same as or materially similar to that in which they were engaged by the Company. This does not prevent holding not more than </w:t>
      </w:r>
      <w:r>
        <w:rPr>
          <w:rFonts w:ascii="Calibri" w:cs="Calibri" w:eastAsia="Calibri" w:hAnsi="Calibri"/>
          <w:b/>
          <w:bCs/>
          <w:sz w:val="21"/>
          <w:szCs w:val="21"/>
        </w:rPr>
        <w:t xml:space="preserve">[5]</w:t>
      </w:r>
      <w:r>
        <w:rPr>
          <w:rFonts w:ascii="Calibri" w:cs="Calibri" w:eastAsia="Calibri" w:hAnsi="Calibri"/>
          <w:sz w:val="21"/>
          <w:szCs w:val="21"/>
        </w:rPr>
        <w:t xml:space="preserve"> per cent of the securities of any company as a passive investment.</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Each restriction, and each element of it as to activity, period, area and category of person, is separate and independent.</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The Executive shall notify the Board in writing before accepting any engagement that may engage a restriction, so that the Company may consider a release. The Company shall consider any such request reasonably.</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b/>
          <w:bCs/>
          <w:sz w:val="21"/>
          <w:szCs w:val="21"/>
        </w:rPr>
        <w:t xml:space="preserve">[Where payment is made for the restraint]</w:t>
      </w:r>
      <w:r>
        <w:rPr>
          <w:rFonts w:ascii="Calibri" w:cs="Calibri" w:eastAsia="Calibri" w:hAnsi="Calibri"/>
          <w:sz w:val="21"/>
          <w:szCs w:val="21"/>
        </w:rPr>
        <w:t xml:space="preserve"> The Company shall pay the Executive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month during the Restricted Period, and this Clause shall cease to bind the Executive if payment is not made within </w:t>
      </w:r>
      <w:r>
        <w:rPr>
          <w:rFonts w:ascii="Calibri" w:cs="Calibri" w:eastAsia="Calibri" w:hAnsi="Calibri"/>
          <w:b/>
          <w:bCs/>
          <w:sz w:val="21"/>
          <w:szCs w:val="21"/>
        </w:rPr>
        <w:t xml:space="preserve">[14]</w:t>
      </w:r>
      <w:r>
        <w:rPr>
          <w:rFonts w:ascii="Calibri" w:cs="Calibri" w:eastAsia="Calibri" w:hAnsi="Calibri"/>
          <w:sz w:val="21"/>
          <w:szCs w:val="21"/>
        </w:rPr>
        <w:t xml:space="preserve"> days of falling due.</w:t>
      </w:r>
    </w:p>
    <w:p>
      <w:pPr>
        <w:keepNext/>
        <w:spacing w:after="120" w:before="280"/>
        <w:outlineLvl w:val="0"/>
      </w:pPr>
      <w:r>
        <w:rPr>
          <w:rFonts w:ascii="Calibri" w:cs="Calibri" w:eastAsia="Calibri" w:hAnsi="Calibri"/>
          <w:b/>
          <w:bCs/>
          <w:color w:val="14161B"/>
          <w:sz w:val="22"/>
          <w:szCs w:val="22"/>
        </w:rPr>
        <w:t xml:space="preserve">7. TERMINATION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Either party may terminate by giving </w:t>
      </w:r>
      <w:r>
        <w:rPr>
          <w:rFonts w:ascii="Calibri" w:cs="Calibri" w:eastAsia="Calibri" w:hAnsi="Calibri"/>
          <w:b/>
          <w:bCs/>
          <w:sz w:val="21"/>
          <w:szCs w:val="21"/>
        </w:rPr>
        <w:t xml:space="preserve">[PERIOD]</w:t>
      </w:r>
      <w:r>
        <w:rPr>
          <w:rFonts w:ascii="Calibri" w:cs="Calibri" w:eastAsia="Calibri" w:hAnsi="Calibri"/>
          <w:sz w:val="21"/>
          <w:szCs w:val="21"/>
        </w:rPr>
        <w:t xml:space="preserve"> notice in writing, or the Company may pay salary in lieu of notice for the unexpired period.</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b/>
          <w:bCs/>
          <w:sz w:val="21"/>
          <w:szCs w:val="21"/>
        </w:rPr>
        <w:t xml:space="preserve">Garden leave.</w:t>
      </w:r>
      <w:r>
        <w:rPr>
          <w:rFonts w:ascii="Calibri" w:cs="Calibri" w:eastAsia="Calibri" w:hAnsi="Calibri"/>
          <w:sz w:val="21"/>
          <w:szCs w:val="21"/>
        </w:rPr>
        <w:t xml:space="preserve"> During any notice period the Company may require the Executive not to attend the workplace, to cease performing duties, to resign any office, and to have no contact with customers, suppliers, employees or advisers except as directed. The Executive remains employed, continues to receive salary and benefits, and remains bound by all obligations under this Agreement.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b/>
          <w:bCs/>
          <w:sz w:val="21"/>
          <w:szCs w:val="21"/>
        </w:rPr>
        <w:t xml:space="preserve">Termination for cause.</w:t>
      </w:r>
      <w:r>
        <w:rPr>
          <w:rFonts w:ascii="Calibri" w:cs="Calibri" w:eastAsia="Calibri" w:hAnsi="Calibri"/>
          <w:sz w:val="21"/>
          <w:szCs w:val="21"/>
        </w:rPr>
        <w:t xml:space="preserve"> The Company may terminate immediately, without notice or payment in lieu, where the Executive commits a material breach of this Agreement, is guilty of gross misconduct, is convicted of an offence involving dishonesty, is disqualified from acting as a director, or becomes bankrupt. Where the ground is misconduct, the Company shall hold a </w:t>
      </w:r>
      <w:r>
        <w:rPr>
          <w:rFonts w:ascii="Calibri" w:cs="Calibri" w:eastAsia="Calibri" w:hAnsi="Calibri"/>
          <w:b/>
          <w:bCs/>
          <w:sz w:val="21"/>
          <w:szCs w:val="21"/>
        </w:rPr>
        <w:t xml:space="preserve">due inquiry</w:t>
      </w:r>
      <w:r>
        <w:rPr>
          <w:rFonts w:ascii="Calibri" w:cs="Calibri" w:eastAsia="Calibri" w:hAnsi="Calibri"/>
          <w:sz w:val="21"/>
          <w:szCs w:val="21"/>
        </w:rPr>
        <w:t xml:space="preserve"> before deciding.</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On termination the Executive shall resign all offices held, return all property, and co-operate with a full handover.</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All sums due are payable </w:t>
      </w:r>
      <w:r>
        <w:rPr>
          <w:rFonts w:ascii="Calibri" w:cs="Calibri" w:eastAsia="Calibri" w:hAnsi="Calibri"/>
          <w:b/>
          <w:bCs/>
          <w:sz w:val="21"/>
          <w:szCs w:val="21"/>
        </w:rPr>
        <w:t xml:space="preserve">on the last day of employment</w:t>
      </w:r>
      <w:r>
        <w:rPr>
          <w:rFonts w:ascii="Calibri" w:cs="Calibri" w:eastAsia="Calibri" w:hAnsi="Calibri"/>
          <w:sz w:val="21"/>
          <w:szCs w:val="21"/>
        </w:rPr>
        <w:t xml:space="preserve"> where the Company terminates; within three working days where the Executive resigns having served notice.</w:t>
      </w:r>
    </w:p>
    <w:p>
      <w:pPr>
        <w:spacing w:after="120" w:before="60" w:line="276"/>
        <w:ind w:left="720" w:hanging="720"/>
        <w:jc w:val="both"/>
      </w:pPr>
      <w:r>
        <w:rPr>
          <w:rFonts w:ascii="Calibri" w:cs="Calibri" w:eastAsia="Calibri" w:hAnsi="Calibri"/>
          <w:sz w:val="21"/>
          <w:szCs w:val="21"/>
        </w:rPr>
        <w:t xml:space="preserve">7.6	</w:t>
      </w:r>
      <w:r>
        <w:rPr>
          <w:rFonts w:ascii="Calibri" w:cs="Calibri" w:eastAsia="Calibri" w:hAnsi="Calibri"/>
          <w:b/>
          <w:bCs/>
          <w:sz w:val="21"/>
          <w:szCs w:val="21"/>
        </w:rPr>
        <w:t xml:space="preserve">[Where the Executive holds a work pass]</w:t>
      </w:r>
      <w:r>
        <w:rPr>
          <w:rFonts w:ascii="Calibri" w:cs="Calibri" w:eastAsia="Calibri" w:hAnsi="Calibri"/>
          <w:sz w:val="21"/>
          <w:szCs w:val="21"/>
        </w:rPr>
        <w:t xml:space="preserve"> The Company shall cancel the pass and shall </w:t>
      </w:r>
      <w:r>
        <w:rPr>
          <w:rFonts w:ascii="Calibri" w:cs="Calibri" w:eastAsia="Calibri" w:hAnsi="Calibri"/>
          <w:b/>
          <w:bCs/>
          <w:sz w:val="21"/>
          <w:szCs w:val="21"/>
        </w:rPr>
        <w:t xml:space="preserve">withhold all monies due pending tax clearance</w:t>
      </w:r>
      <w:r>
        <w:rPr>
          <w:rFonts w:ascii="Calibri" w:cs="Calibri" w:eastAsia="Calibri" w:hAnsi="Calibri"/>
          <w:sz w:val="21"/>
          <w:szCs w:val="21"/>
        </w:rPr>
        <w:t xml:space="preserve"> as required by law. Note that unexercised options or unvested awards may be </w:t>
      </w:r>
      <w:r>
        <w:rPr>
          <w:rFonts w:ascii="Calibri" w:cs="Calibri" w:eastAsia="Calibri" w:hAnsi="Calibri"/>
          <w:b/>
          <w:bCs/>
          <w:sz w:val="21"/>
          <w:szCs w:val="21"/>
        </w:rPr>
        <w:t xml:space="preserve">deemed exercised</w:t>
      </w:r>
      <w:r>
        <w:rPr>
          <w:rFonts w:ascii="Calibri" w:cs="Calibri" w:eastAsia="Calibri" w:hAnsi="Calibri"/>
          <w:sz w:val="21"/>
          <w:szCs w:val="21"/>
        </w:rPr>
        <w:t xml:space="preserve"> on cessation or departure, with a tax charge arising.</w:t>
      </w:r>
    </w:p>
    <w:p>
      <w:pPr>
        <w:spacing w:after="120" w:before="60" w:line="276"/>
        <w:ind w:left="720" w:hanging="720"/>
        <w:jc w:val="both"/>
      </w:pPr>
      <w:r>
        <w:rPr>
          <w:rFonts w:ascii="Calibri" w:cs="Calibri" w:eastAsia="Calibri" w:hAnsi="Calibri"/>
          <w:sz w:val="21"/>
          <w:szCs w:val="21"/>
        </w:rPr>
        <w:t xml:space="preserve">7.7	</w:t>
      </w:r>
      <w:r>
        <w:rPr>
          <w:rFonts w:ascii="Calibri" w:cs="Calibri" w:eastAsia="Calibri" w:hAnsi="Calibri"/>
          <w:sz w:val="21"/>
          <w:szCs w:val="21"/>
        </w:rPr>
        <w:t xml:space="preserve">Clauses 5, 6 and this Clause survive termination.</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This Agreement, together with the key employment terms to be issued, constitutes the entire terms of the employment.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shall process the Executive’s personal data in accordance with the Personal Data Protection Act 2012.</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A related corporation may enforce Clauses 5 and 6 under the Contracts (Rights of Third Parties) Act 2001. No other third party may enforce any term.</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This Agreement is governed by the laws of Singapore and the parties submit to the jurisdiction of the Singapore courts, without prejudice to any remedy under the Employment Act.</w:t>
      </w:r>
    </w:p>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[EXECUTIVE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NRIC / FIN: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Executives are outside Part IV</w:t>
      </w:r>
    </w:p>
    <w:p>
      <w:pPr>
        <w:spacing w:after="60" w:line="264"/>
        <w:jc w:val="both"/>
      </w:pPr>
      <w:r>
        <w:rPr>
          <w:rFonts w:ascii="Calibri" w:cs="Calibri" w:eastAsia="Calibri" w:hAnsi="Calibri"/>
          <w:sz w:val="19"/>
          <w:szCs w:val="19"/>
        </w:rPr>
        <w:t xml:space="preserve">Managers and executives are not covered by Part IV of the Employment Act, so the statutory provisions on hours of work, rest days and overtime do not apply. They remain employees for all other purposes: key employment terms within fourteen days, itemised payslips, salary within seven days of the period end, Central Provident Fund where applicable, and due inquiry before dismissal for misconduct. Employers sometimes assume seniority removes the Act entirely. It does not.</w:t>
      </w:r>
    </w:p>
    <w:p>
      <w:pPr>
        <w:keepNext/>
        <w:spacing w:after="40" w:before="140"/>
      </w:pPr>
      <w:r>
        <w:rPr>
          <w:rFonts w:ascii="Calibri" w:cs="Calibri" w:eastAsia="Calibri" w:hAnsi="Calibri"/>
          <w:b/>
          <w:bCs/>
          <w:color w:val="14161B"/>
          <w:sz w:val="20"/>
          <w:szCs w:val="20"/>
        </w:rPr>
        <w:t xml:space="preserve">Employment and directorship are separate — end both</w:t>
      </w:r>
    </w:p>
    <w:p>
      <w:pPr>
        <w:spacing w:after="60" w:line="264"/>
        <w:jc w:val="both"/>
      </w:pPr>
      <w:r>
        <w:rPr>
          <w:rFonts w:ascii="Calibri" w:cs="Calibri" w:eastAsia="Calibri" w:hAnsi="Calibri"/>
          <w:sz w:val="19"/>
          <w:szCs w:val="19"/>
        </w:rPr>
        <w:t xml:space="preserve">Terminating the employment does not remove the executive from the board, and removing them from the board does not end the employment. Clause 3.2 requires resignation from office on termination and takes a power of attorney as a backstop, because an executive who leaves acrimoniously and refuses to resign the directorship creates a filing problem and continuing duties. Clause 3.3 states the position expressly so nobody assumes one act does both.</w:t>
      </w:r>
    </w:p>
    <w:p>
      <w:pPr>
        <w:keepNext/>
        <w:spacing w:after="40" w:before="140"/>
      </w:pPr>
      <w:r>
        <w:rPr>
          <w:rFonts w:ascii="Calibri" w:cs="Calibri" w:eastAsia="Calibri" w:hAnsi="Calibri"/>
          <w:b/>
          <w:bCs/>
          <w:color w:val="14161B"/>
          <w:sz w:val="20"/>
          <w:szCs w:val="20"/>
        </w:rPr>
        <w:t xml:space="preserve">A sole director cannot resign into a vacancy</w:t>
      </w:r>
    </w:p>
    <w:p>
      <w:pPr>
        <w:spacing w:after="60" w:line="264"/>
        <w:jc w:val="both"/>
      </w:pPr>
      <w:r>
        <w:rPr>
          <w:rFonts w:ascii="Calibri" w:cs="Calibri" w:eastAsia="Calibri" w:hAnsi="Calibri"/>
          <w:sz w:val="19"/>
          <w:szCs w:val="19"/>
        </w:rPr>
        <w:t xml:space="preserve">Where the executive is the only director, or the only director ordinarily resident in Singapore, their departure creates an immediate compliance problem. Identify a successor before the termination takes effect, not afterwards.</w:t>
      </w:r>
    </w:p>
    <w:p>
      <w:pPr>
        <w:keepNext/>
        <w:spacing w:after="40" w:before="140"/>
      </w:pPr>
      <w:r>
        <w:rPr>
          <w:rFonts w:ascii="Calibri" w:cs="Calibri" w:eastAsia="Calibri" w:hAnsi="Calibri"/>
          <w:b/>
          <w:bCs/>
          <w:color w:val="14161B"/>
          <w:sz w:val="20"/>
          <w:szCs w:val="20"/>
        </w:rPr>
        <w:t xml:space="preserve">This is the covenant most likely to be enforced</w:t>
      </w:r>
    </w:p>
    <w:p>
      <w:pPr>
        <w:spacing w:after="60" w:line="264"/>
        <w:jc w:val="both"/>
      </w:pPr>
      <w:r>
        <w:rPr>
          <w:rFonts w:ascii="Calibri" w:cs="Calibri" w:eastAsia="Calibri" w:hAnsi="Calibri"/>
          <w:sz w:val="19"/>
          <w:szCs w:val="19"/>
        </w:rPr>
        <w:t xml:space="preserve">Restrictive covenants are enforceable in Singapore where reasonable, and seniority, access to confidential information and customer connection are exactly the factors that make them reasonable. That cuts both ways: the covenant matters more here than anywhere else in the workforce, and it is also the one most worth drafting narrowly. An over-broad covenant fails entirely — courts will not read it down.</w:t>
      </w:r>
    </w:p>
    <w:p>
      <w:pPr>
        <w:keepNext/>
        <w:spacing w:after="40" w:before="140"/>
      </w:pPr>
      <w:r>
        <w:rPr>
          <w:rFonts w:ascii="Calibri" w:cs="Calibri" w:eastAsia="Calibri" w:hAnsi="Calibri"/>
          <w:b/>
          <w:bCs/>
          <w:color w:val="14161B"/>
          <w:sz w:val="20"/>
          <w:szCs w:val="20"/>
        </w:rPr>
        <w:t xml:space="preserve">Deduct garden leave from the restricted period</w:t>
      </w:r>
    </w:p>
    <w:p>
      <w:pPr>
        <w:spacing w:after="60" w:line="264"/>
        <w:jc w:val="both"/>
      </w:pPr>
      <w:r>
        <w:rPr>
          <w:rFonts w:ascii="Calibri" w:cs="Calibri" w:eastAsia="Calibri" w:hAnsi="Calibri"/>
          <w:sz w:val="19"/>
          <w:szCs w:val="19"/>
        </w:rPr>
        <w:t xml:space="preserve">A court assesses the cumulative period the executive is kept out of the market. Stacking a six-month garden leave onto a twelve-month restraint frequently results in both being cut down. Clause 6.1 deducts garden leave, which is fairer and materially strengthens the reasonableness argument.</w:t>
      </w:r>
    </w:p>
    <w:p>
      <w:pPr>
        <w:keepNext/>
        <w:spacing w:after="40" w:before="140"/>
      </w:pPr>
      <w:r>
        <w:rPr>
          <w:rFonts w:ascii="Calibri" w:cs="Calibri" w:eastAsia="Calibri" w:hAnsi="Calibri"/>
          <w:b/>
          <w:bCs/>
          <w:color w:val="14161B"/>
          <w:sz w:val="20"/>
          <w:szCs w:val="20"/>
        </w:rPr>
        <w:t xml:space="preserve">Consider paying for the restraint</w:t>
      </w:r>
    </w:p>
    <w:p>
      <w:pPr>
        <w:spacing w:after="60" w:line="264"/>
        <w:jc w:val="both"/>
      </w:pPr>
      <w:r>
        <w:rPr>
          <w:rFonts w:ascii="Calibri" w:cs="Calibri" w:eastAsia="Calibri" w:hAnsi="Calibri"/>
          <w:sz w:val="19"/>
          <w:szCs w:val="19"/>
        </w:rPr>
        <w:t xml:space="preserve">There is no requirement to pay, but a paid restraint is easier to defend as reasonable, removes the hardship argument, and gives the Company a clean lever to release the executive by ceasing payment. Clause 6.7 is drafted so the restraint falls away if payment stops. For a genuinely senior role, this is usually worth the cost.</w:t>
      </w:r>
    </w:p>
    <w:p>
      <w:pPr>
        <w:keepNext/>
        <w:spacing w:after="40" w:before="140"/>
      </w:pPr>
      <w:r>
        <w:rPr>
          <w:rFonts w:ascii="Calibri" w:cs="Calibri" w:eastAsia="Calibri" w:hAnsi="Calibri"/>
          <w:b/>
          <w:bCs/>
          <w:color w:val="14161B"/>
          <w:sz w:val="20"/>
          <w:szCs w:val="20"/>
        </w:rPr>
        <w:t xml:space="preserve">Ask about the executive’s existing restraints</w:t>
      </w:r>
    </w:p>
    <w:p>
      <w:pPr>
        <w:spacing w:after="60" w:line="264"/>
        <w:jc w:val="both"/>
      </w:pPr>
      <w:r>
        <w:rPr>
          <w:rFonts w:ascii="Calibri" w:cs="Calibri" w:eastAsia="Calibri" w:hAnsi="Calibri"/>
          <w:sz w:val="19"/>
          <w:szCs w:val="19"/>
        </w:rPr>
        <w:t xml:space="preserve">Clause 1.3 is a warranty, not a formality. A former employer’s covenant may well be enforceable, and a company that hires knowing of one can face a claim for inducing breach of contract. For senior hires from competitors, obtain the previous contract and take advice before the start date.</w:t>
      </w:r>
    </w:p>
    <w:p>
      <w:pPr>
        <w:keepNext/>
        <w:spacing w:after="40" w:before="140"/>
      </w:pPr>
      <w:r>
        <w:rPr>
          <w:rFonts w:ascii="Calibri" w:cs="Calibri" w:eastAsia="Calibri" w:hAnsi="Calibri"/>
          <w:b/>
          <w:bCs/>
          <w:color w:val="14161B"/>
          <w:sz w:val="20"/>
          <w:szCs w:val="20"/>
        </w:rPr>
        <w:t xml:space="preserve">Directors’ and officers’ insurance should run past departure</w:t>
      </w:r>
    </w:p>
    <w:p>
      <w:pPr>
        <w:spacing w:after="60" w:line="264"/>
        <w:jc w:val="both"/>
      </w:pPr>
      <w:r>
        <w:rPr>
          <w:rFonts w:ascii="Calibri" w:cs="Calibri" w:eastAsia="Calibri" w:hAnsi="Calibri"/>
          <w:sz w:val="19"/>
          <w:szCs w:val="19"/>
        </w:rPr>
        <w:t xml:space="preserve">Claims frequently surface after an executive leaves. Clause 3.4 requires cover for a period after the appointment ends. Confirm the actual policy provides run-off cover rather than relying on the contractual promise alone, and check whether it responds to claims made after the policy is not renewed.</w:t>
      </w:r>
    </w:p>
    <w:p>
      <w:pPr>
        <w:keepNext/>
        <w:spacing w:after="40" w:before="140"/>
      </w:pPr>
      <w:r>
        <w:rPr>
          <w:rFonts w:ascii="Calibri" w:cs="Calibri" w:eastAsia="Calibri" w:hAnsi="Calibri"/>
          <w:b/>
          <w:bCs/>
          <w:color w:val="14161B"/>
          <w:sz w:val="20"/>
          <w:szCs w:val="20"/>
        </w:rPr>
        <w:t xml:space="preserve">Agree bonus objectives, in writing, early</w:t>
      </w:r>
    </w:p>
    <w:p>
      <w:pPr>
        <w:spacing w:after="60" w:line="264"/>
        <w:jc w:val="both"/>
      </w:pPr>
      <w:r>
        <w:rPr>
          <w:rFonts w:ascii="Calibri" w:cs="Calibri" w:eastAsia="Calibri" w:hAnsi="Calibri"/>
          <w:sz w:val="19"/>
          <w:szCs w:val="19"/>
        </w:rPr>
        <w:t xml:space="preserve">The single most common senior-executive dispute is over a discretionary bonus where objectives were never agreed. Clause 4.2 sets a thirty-day deadline. Where objectives are never set, the executive has a strong argument that the discretion must be exercised in their favour.</w:t>
      </w:r>
    </w:p>
    <w:p>
      <w:pPr>
        <w:keepNext/>
        <w:spacing w:after="40" w:before="140"/>
      </w:pPr>
      <w:r>
        <w:rPr>
          <w:rFonts w:ascii="Calibri" w:cs="Calibri" w:eastAsia="Calibri" w:hAnsi="Calibri"/>
          <w:b/>
          <w:bCs/>
          <w:color w:val="14161B"/>
          <w:sz w:val="20"/>
          <w:szCs w:val="20"/>
        </w:rPr>
        <w:t xml:space="preserve">Bonus described as discretionary can become contractual</w:t>
      </w:r>
    </w:p>
    <w:p>
      <w:pPr>
        <w:spacing w:after="60" w:line="264"/>
        <w:jc w:val="both"/>
      </w:pPr>
      <w:r>
        <w:rPr>
          <w:rFonts w:ascii="Calibri" w:cs="Calibri" w:eastAsia="Calibri" w:hAnsi="Calibri"/>
          <w:sz w:val="19"/>
          <w:szCs w:val="19"/>
        </w:rPr>
        <w:t xml:space="preserve">A bonus paid at a consistent level for several years, despite being labelled discretionary, may be argued to have become a term by custom. If genuine discretion is intended, exercise it visibly — vary the amount and document the assessment.</w:t>
      </w:r>
    </w:p>
    <w:p>
      <w:pPr>
        <w:keepNext/>
        <w:spacing w:after="40" w:before="140"/>
      </w:pPr>
      <w:r>
        <w:rPr>
          <w:rFonts w:ascii="Calibri" w:cs="Calibri" w:eastAsia="Calibri" w:hAnsi="Calibri"/>
          <w:b/>
          <w:bCs/>
          <w:color w:val="14161B"/>
          <w:sz w:val="20"/>
          <w:szCs w:val="20"/>
        </w:rPr>
        <w:t xml:space="preserve">Clawback is easier to draft than to enforce</w:t>
      </w:r>
    </w:p>
    <w:p>
      <w:pPr>
        <w:spacing w:after="60" w:line="264"/>
        <w:jc w:val="both"/>
      </w:pPr>
      <w:r>
        <w:rPr>
          <w:rFonts w:ascii="Calibri" w:cs="Calibri" w:eastAsia="Calibri" w:hAnsi="Calibri"/>
          <w:sz w:val="19"/>
          <w:szCs w:val="19"/>
        </w:rPr>
        <w:t xml:space="preserve">Recovering sums already paid, on which tax and contributions have been accounted for, is legally and practically difficult. Clause 4.3 is drafted for the cases where it matters most — misstatement and fraud — rather than as a general recovery right. Take advice before relying on it.</w:t>
      </w:r>
    </w:p>
    <w:p>
      <w:pPr>
        <w:keepNext/>
        <w:spacing w:after="40" w:before="140"/>
      </w:pPr>
      <w:r>
        <w:rPr>
          <w:rFonts w:ascii="Calibri" w:cs="Calibri" w:eastAsia="Calibri" w:hAnsi="Calibri"/>
          <w:b/>
          <w:bCs/>
          <w:color w:val="14161B"/>
          <w:sz w:val="20"/>
          <w:szCs w:val="20"/>
        </w:rPr>
        <w:t xml:space="preserve">Due inquiry applies to executives too</w:t>
      </w:r>
    </w:p>
    <w:p>
      <w:pPr>
        <w:spacing w:after="60" w:line="264"/>
        <w:jc w:val="both"/>
      </w:pPr>
      <w:r>
        <w:rPr>
          <w:rFonts w:ascii="Calibri" w:cs="Calibri" w:eastAsia="Calibri" w:hAnsi="Calibri"/>
          <w:sz w:val="19"/>
          <w:szCs w:val="19"/>
        </w:rPr>
        <w:t xml:space="preserve">Termination for cause on the ground of misconduct still requires a due inquiry. Boards frequently move directly to summary dismissal on the strength of a report. That is the fact pattern most likely to convert a justified dismissal into a successful claim.</w:t>
      </w:r>
    </w:p>
    <w:p>
      <w:pPr>
        <w:keepNext/>
        <w:spacing w:after="40" w:before="140"/>
      </w:pPr>
      <w:r>
        <w:rPr>
          <w:rFonts w:ascii="Calibri" w:cs="Calibri" w:eastAsia="Calibri" w:hAnsi="Calibri"/>
          <w:b/>
          <w:bCs/>
          <w:color w:val="14161B"/>
          <w:sz w:val="20"/>
          <w:szCs w:val="20"/>
        </w:rPr>
        <w:t xml:space="preserve">The deemed exercise rule catches departing foreign executives</w:t>
      </w:r>
    </w:p>
    <w:p>
      <w:pPr>
        <w:spacing w:after="60" w:line="264"/>
        <w:jc w:val="both"/>
      </w:pPr>
      <w:r>
        <w:rPr>
          <w:rFonts w:ascii="Calibri" w:cs="Calibri" w:eastAsia="Calibri" w:hAnsi="Calibri"/>
          <w:sz w:val="19"/>
          <w:szCs w:val="19"/>
        </w:rPr>
        <w:t xml:space="preserve">A non-citizen executive holding unexercised options or unvested awards on cessation or departure may be deemed to have exercised or vested them, producing a taxable gain with no cash received. Compute this before the termination and tell the executive — discovering it in a clearance directive after departure is an unpleasant surprise at a senior level.</w:t>
      </w:r>
    </w:p>
    <w:p>
      <w:pPr>
        <w:keepNext/>
        <w:spacing w:after="40" w:before="140"/>
      </w:pPr>
      <w:r>
        <w:rPr>
          <w:rFonts w:ascii="Calibri" w:cs="Calibri" w:eastAsia="Calibri" w:hAnsi="Calibri"/>
          <w:b/>
          <w:bCs/>
          <w:color w:val="14161B"/>
          <w:sz w:val="20"/>
          <w:szCs w:val="20"/>
        </w:rPr>
        <w:t xml:space="preserve">Allow a non-executive role where it is harmless</w:t>
      </w:r>
    </w:p>
    <w:p>
      <w:pPr>
        <w:spacing w:after="60" w:line="264"/>
        <w:jc w:val="both"/>
      </w:pPr>
      <w:r>
        <w:rPr>
          <w:rFonts w:ascii="Calibri" w:cs="Calibri" w:eastAsia="Calibri" w:hAnsi="Calibri"/>
          <w:sz w:val="19"/>
          <w:szCs w:val="19"/>
        </w:rPr>
        <w:t xml:space="preserve">Clause 2.3 flags this. Many strong senior candidates hold one outside non-executive directorship, and refusing it as a matter of policy costs candidates for no benefit. Require disclosure and consent, and give consent where there is no conflict.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Directors’ duties under the Companies Act 1967, Part IV thresholds, Central Provident Fund ceilings, work pass qualifying salaries and the pending tripartite guidelines on restrictive covenants all change — have any executive agreement settled by an employment lawyer, and take separate advice on the equity and tax treatment.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2026-08-22T06:55:29.401Z</dcterms:created>
  <dcterms:modified xsi:type="dcterms:W3CDTF">2026-08-22T06:55:29.401Z</dcterms:modified>
</cp:coreProperties>
</file>

<file path=docProps/custom.xml><?xml version="1.0" encoding="utf-8"?>
<Properties xmlns="http://schemas.openxmlformats.org/officeDocument/2006/custom-properties" xmlns:vt="http://schemas.openxmlformats.org/officeDocument/2006/docPropsVTypes"/>
</file>