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ESG SIDE LETTER</w:t>
      </w:r>
    </w:p>
    <w:p>
      <w:pPr>
        <w:spacing w:after="260"/>
        <w:jc w:val="center"/>
      </w:pPr>
      <w:r>
        <w:rPr>
          <w:rFonts w:ascii="Calibri" w:cs="Calibri" w:eastAsia="Calibri" w:hAnsi="Calibri"/>
          <w:i/>
          <w:iCs/>
          <w:color w:val="6E7480"/>
          <w:sz w:val="19"/>
          <w:szCs w:val="19"/>
        </w:rPr>
        <w:t xml:space="preserve">Environmental, social and governance undertakings</w:t>
      </w:r>
    </w:p>
    <w:p>
      <w:pPr>
        <w:spacing w:after="180" w:before="0" w:line="276"/>
        <w:jc w:val="both"/>
      </w:pPr>
      <w:r>
        <w:rPr>
          <w:rFonts w:ascii="Calibri" w:cs="Calibri" w:eastAsia="Calibri" w:hAnsi="Calibri"/>
          <w:i/>
          <w:iCs/>
          <w:color w:val="6E7480"/>
          <w:sz w:val="21"/>
          <w:szCs w:val="21"/>
        </w:rPr>
        <w:t xml:space="preserve">Increasingly requested in Southeast Asian rounds, usually because the investor has its own obligations to its limited partners. VIMA publishes a model ESG side letter as part of its Singapore-law suite. The practical question for a founder is not whether to sign one, but whether the undertakings are proportionate to the company’s stage.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Related to</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subscription agreement dated </w:t>
            </w: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frequency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[Annually]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First report due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ESG contact at the 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Proportionality review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[Annually / at each subsequent round]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PURPOSE AND PROPORTIONALITY</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Investor and the Company recognise that managing environmental, social and governance matters supports long-term value and reduces risk.</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undertakings in this letter apply </w:t>
      </w:r>
      <w:r>
        <w:rPr>
          <w:rFonts w:ascii="Calibri" w:cs="Calibri" w:eastAsia="Calibri" w:hAnsi="Calibri"/>
          <w:b/>
          <w:bCs/>
          <w:sz w:val="21"/>
          <w:szCs w:val="21"/>
        </w:rPr>
        <w:t xml:space="preserve">proportionately to the Company’s size, stage and sector</w:t>
      </w:r>
      <w:r>
        <w:rPr>
          <w:rFonts w:ascii="Calibri" w:cs="Calibri" w:eastAsia="Calibri" w:hAnsi="Calibri"/>
          <w:sz w:val="21"/>
          <w:szCs w:val="21"/>
        </w:rPr>
        <w:t xml:space="preserve">, and shall be reviewed </w:t>
      </w:r>
      <w:r>
        <w:rPr>
          <w:rFonts w:ascii="Calibri" w:cs="Calibri" w:eastAsia="Calibri" w:hAnsi="Calibri"/>
          <w:b/>
          <w:bCs/>
          <w:sz w:val="21"/>
          <w:szCs w:val="21"/>
        </w:rPr>
        <w:t xml:space="preserve">[annually / at each subsequent financing]</w:t>
      </w:r>
      <w:r>
        <w:rPr>
          <w:rFonts w:ascii="Calibri" w:cs="Calibri" w:eastAsia="Calibri" w:hAnsi="Calibri"/>
          <w:sz w:val="21"/>
          <w:szCs w:val="21"/>
        </w:rPr>
        <w:t xml:space="preserve"> to ensure they remain so.</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Nothing in this letter requires the Company to incur expenditure disproportionate to its resources, or to implement a policy or system that a company of its size would not reasonably be expected to have.</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i/>
          <w:iCs/>
          <w:sz w:val="21"/>
          <w:szCs w:val="21"/>
        </w:rPr>
        <w:t xml:space="preserve">Clause 1.2 and 1.3 matter. An ESG letter drafted for a mature portfolio company, applied unmodified to a fifteen-person startup, generates reporting nobody reads and obligations nobody can meet. Negotiate proportionality expressly rather than relying on goodwill.</w:t>
      </w:r>
    </w:p>
    <w:p>
      <w:pPr>
        <w:keepNext/>
        <w:spacing w:after="120" w:before="280"/>
        <w:outlineLvl w:val="0"/>
      </w:pPr>
      <w:r>
        <w:rPr>
          <w:rFonts w:ascii="Calibri" w:cs="Calibri" w:eastAsia="Calibri" w:hAnsi="Calibri"/>
          <w:b/>
          <w:bCs/>
          <w:color w:val="14161B"/>
          <w:sz w:val="22"/>
          <w:szCs w:val="22"/>
        </w:rPr>
        <w:t xml:space="preserve">2. BASELINE UNDERTAKINGS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Company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comply with applicable environmental, employment, health and safety, data protection and anti-corruption law;</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not use forced labour or child labour, and take reasonable steps to satisfy itself that its material suppliers do not;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maintain a workplace free from discrimination and harassment, with a grievance procedure and named contacts;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pay employees lawfully and on time, with written key employment terms and itemised payslips;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maintain work injury compensation insurance and comply with workplace safety obligations;</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not offer or accept bribes or improper payments, and maintain an anti-bribery position appropriate to its operations;</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appoint a Data Protection Officer and comply with the Personal Data Protection Act 2012; and</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maintain the corporate governance arrangements agreed in the Shareholders’ Agreement.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Note that (c) to (g) are legal obligations in Singapore in any event. A well-run company should already meet them, and the letter is largely confirming that rather than adding to it.</w:t>
      </w:r>
    </w:p>
    <w:p>
      <w:pPr>
        <w:keepNext/>
        <w:spacing w:after="120" w:before="280"/>
        <w:outlineLvl w:val="0"/>
      </w:pPr>
      <w:r>
        <w:rPr>
          <w:rFonts w:ascii="Calibri" w:cs="Calibri" w:eastAsia="Calibri" w:hAnsi="Calibri"/>
          <w:b/>
          <w:bCs/>
          <w:color w:val="14161B"/>
          <w:sz w:val="22"/>
          <w:szCs w:val="22"/>
        </w:rPr>
        <w:t xml:space="preserve">3. EXCLUDED ACTIVITIES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shall not engage in, and shall not knowingly finance, any of the following: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Excluded activity</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Applies?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Production or trade in any product or activity illegal under applicable law</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Forced labour or child labour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Production or trade in weapons or munitions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Gambling, casinos and equivalent enterprises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Production or trade in tobacco, or in alcoholic beverages above a stated threshold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Trade in wildlife or products regulated under CITES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Production or trade in ozone-depleting substances or banned pesticides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Pornography or prostitution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Activities involving significant unmitigated environmental harm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[Sector-specific exclusion required by the Investor’s own mandate]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i/>
          <w:iCs/>
          <w:sz w:val="21"/>
          <w:szCs w:val="21"/>
        </w:rPr>
        <w:t xml:space="preserve">Exclusion lists usually derive from the investor’s own fund documents. Read them against what the company actually does and might do — a broad exclusion can inadvertently rule out a legitimate future product line.</w:t>
      </w:r>
    </w:p>
    <w:p>
      <w:pPr>
        <w:keepNext/>
        <w:spacing w:after="120" w:before="280"/>
        <w:outlineLvl w:val="0"/>
      </w:pPr>
      <w:r>
        <w:rPr>
          <w:rFonts w:ascii="Calibri" w:cs="Calibri" w:eastAsia="Calibri" w:hAnsi="Calibri"/>
          <w:b/>
          <w:bCs/>
          <w:color w:val="14161B"/>
          <w:sz w:val="22"/>
          <w:szCs w:val="22"/>
        </w:rPr>
        <w:t xml:space="preserve">4. REPORTING</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shall provide the Investor with an ESG report </w:t>
      </w:r>
      <w:r>
        <w:rPr>
          <w:rFonts w:ascii="Calibri" w:cs="Calibri" w:eastAsia="Calibri" w:hAnsi="Calibri"/>
          <w:b/>
          <w:bCs/>
          <w:sz w:val="21"/>
          <w:szCs w:val="21"/>
        </w:rPr>
        <w:t xml:space="preserve">[annually]</w:t>
      </w:r>
      <w:r>
        <w:rPr>
          <w:rFonts w:ascii="Calibri" w:cs="Calibri" w:eastAsia="Calibri" w:hAnsi="Calibri"/>
          <w:sz w:val="21"/>
          <w:szCs w:val="21"/>
        </w:rPr>
        <w:t xml:space="preserve">, within </w:t>
      </w:r>
      <w:r>
        <w:rPr>
          <w:rFonts w:ascii="Calibri" w:cs="Calibri" w:eastAsia="Calibri" w:hAnsi="Calibri"/>
          <w:b/>
          <w:bCs/>
          <w:sz w:val="21"/>
          <w:szCs w:val="21"/>
        </w:rPr>
        <w:t xml:space="preserve">[60]</w:t>
      </w:r>
      <w:r>
        <w:rPr>
          <w:rFonts w:ascii="Calibri" w:cs="Calibri" w:eastAsia="Calibri" w:hAnsi="Calibri"/>
          <w:sz w:val="21"/>
          <w:szCs w:val="21"/>
        </w:rPr>
        <w:t xml:space="preserve"> days of the financial year end, in the form of Schedule 1.</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Company shall notify the Investor promptly of any </w:t>
      </w:r>
      <w:r>
        <w:rPr>
          <w:rFonts w:ascii="Calibri" w:cs="Calibri" w:eastAsia="Calibri" w:hAnsi="Calibri"/>
          <w:b/>
          <w:bCs/>
          <w:sz w:val="21"/>
          <w:szCs w:val="21"/>
        </w:rPr>
        <w:t xml:space="preserve">material ESG incident</w:t>
      </w:r>
      <w:r>
        <w:rPr>
          <w:rFonts w:ascii="Calibri" w:cs="Calibri" w:eastAsia="Calibri" w:hAnsi="Calibri"/>
          <w:sz w:val="21"/>
          <w:szCs w:val="21"/>
        </w:rPr>
        <w:t xml:space="preserve">, being a fatality or serious injury at work, a material environmental incident, a notifiable data breach, a regulatory investigation into an ESG matter, or a material allegation of discrimination, harassment, bribery or labour abuse.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Company shall respond to reasonable requests for information the Investor requires to meet its own reporting obligations to its investors, so far as the information is available without disproportionate effort.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Information provided is confidential and may be used by the Investor only for its internal reporting and its reporting to its own investors on an aggregated or anonymised basis, unless the Company consents otherwise.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PROGRESSIVE COMMITMENTS</w:t>
      </w:r>
    </w:p>
    <w:p>
      <w:pPr>
        <w:spacing w:after="120" w:before="0" w:line="276"/>
        <w:jc w:val="both"/>
      </w:pPr>
      <w:r>
        <w:rPr>
          <w:rFonts w:ascii="Calibri" w:cs="Calibri" w:eastAsia="Calibri" w:hAnsi="Calibri"/>
          <w:i/>
          <w:iCs/>
          <w:sz w:val="21"/>
          <w:szCs w:val="21"/>
        </w:rPr>
        <w:t xml:space="preserve">Commitments to build capability over time, rather than immediately. This is where proportionality is best expressed.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276"/>
        <w:gridCol w:w="1542"/>
        <w:gridCol w:w="4435"/>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Commitment</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By when</w:t>
            </w:r>
          </w:p>
        </w:tc>
        <w:tc>
          <w:tcPr>
            <w:tcW w:type="dxa" w:w="443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Trigger instead of a 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 a named person responsible for ESG matters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 signing]</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Adopt a written code of conduct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[6]</w:t>
            </w:r>
            <w:r>
              <w:rPr>
                <w:rFonts w:ascii="Calibri" w:cs="Calibri" w:eastAsia="Calibri" w:hAnsi="Calibri"/>
                <w:sz w:val="17"/>
                <w:szCs w:val="17"/>
              </w:rPr>
              <w:t xml:space="preserve"> months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Adopt an anti-bribery and whistleblowing policy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[12]</w:t>
            </w:r>
            <w:r>
              <w:rPr>
                <w:rFonts w:ascii="Calibri" w:cs="Calibri" w:eastAsia="Calibri" w:hAnsi="Calibri"/>
                <w:sz w:val="17"/>
                <w:szCs w:val="17"/>
              </w:rPr>
              <w:t xml:space="preserve"> months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[Or on reaching ______ employees]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Adopt a workplace fairness and grievance procedure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[12]</w:t>
            </w:r>
            <w:r>
              <w:rPr>
                <w:rFonts w:ascii="Calibri" w:cs="Calibri" w:eastAsia="Calibri" w:hAnsi="Calibri"/>
                <w:sz w:val="17"/>
                <w:szCs w:val="17"/>
              </w:rPr>
              <w:t xml:space="preserve"> months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Or on reaching 25 employees</w:t>
            </w:r>
            <w:r>
              <w:rPr>
                <w:rFonts w:ascii="Calibri" w:cs="Calibri" w:eastAsia="Calibri" w:hAnsi="Calibri"/>
                <w:sz w:val="17"/>
                <w:szCs w:val="17"/>
              </w:rPr>
              <w:t xml:space="preserve"> — the Workplace Fairness Act threshold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Adopt a supplier code of conduct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[18]</w:t>
            </w:r>
            <w:r>
              <w:rPr>
                <w:rFonts w:ascii="Calibri" w:cs="Calibri" w:eastAsia="Calibri" w:hAnsi="Calibri"/>
                <w:sz w:val="17"/>
                <w:szCs w:val="17"/>
              </w:rPr>
              <w:t xml:space="preserve"> months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[Or on the first material supplier engagement]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Measure and report basic environmental metrics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[18]</w:t>
            </w:r>
            <w:r>
              <w:rPr>
                <w:rFonts w:ascii="Calibri" w:cs="Calibri" w:eastAsia="Calibri" w:hAnsi="Calibri"/>
                <w:sz w:val="17"/>
                <w:szCs w:val="17"/>
              </w:rPr>
              <w:t xml:space="preserve"> months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[Or on occupying dedicated premises]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Report workforce diversity data</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[12]</w:t>
            </w:r>
            <w:r>
              <w:rPr>
                <w:rFonts w:ascii="Calibri" w:cs="Calibri" w:eastAsia="Calibri" w:hAnsi="Calibri"/>
                <w:sz w:val="17"/>
                <w:szCs w:val="17"/>
              </w:rPr>
              <w:t xml:space="preserve"> months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[Or on reaching ______ employees]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Board-level review of ESG matters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[Annually]</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[Sector-specific commitment]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[TRIGGER]</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Tying commitments to headcount or business triggers rather than fixed dates is usually better for both sides: the company builds capability when it actually needs it, and the investor gets the policy at the point it matters.</w:t>
      </w:r>
    </w:p>
    <w:p>
      <w:pPr>
        <w:keepNext/>
        <w:spacing w:after="120" w:before="280"/>
        <w:outlineLvl w:val="0"/>
      </w:pPr>
      <w:r>
        <w:rPr>
          <w:rFonts w:ascii="Calibri" w:cs="Calibri" w:eastAsia="Calibri" w:hAnsi="Calibri"/>
          <w:b/>
          <w:bCs/>
          <w:color w:val="14161B"/>
          <w:sz w:val="22"/>
          <w:szCs w:val="22"/>
        </w:rPr>
        <w:t xml:space="preserve">6. CONSEQUENCES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Where the Company breaches this letter, the Investor shall notify the Company and the parties shall agree a </w:t>
      </w:r>
      <w:r>
        <w:rPr>
          <w:rFonts w:ascii="Calibri" w:cs="Calibri" w:eastAsia="Calibri" w:hAnsi="Calibri"/>
          <w:b/>
          <w:bCs/>
          <w:sz w:val="21"/>
          <w:szCs w:val="21"/>
        </w:rPr>
        <w:t xml:space="preserve">remediation plan</w:t>
      </w:r>
      <w:r>
        <w:rPr>
          <w:rFonts w:ascii="Calibri" w:cs="Calibri" w:eastAsia="Calibri" w:hAnsi="Calibri"/>
          <w:sz w:val="21"/>
          <w:szCs w:val="21"/>
        </w:rPr>
        <w:t xml:space="preserve"> with a reasonable timetable.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Failure to remediate a material breach within the agreed period </w:t>
      </w:r>
      <w:r>
        <w:rPr>
          <w:rFonts w:ascii="Calibri" w:cs="Calibri" w:eastAsia="Calibri" w:hAnsi="Calibri"/>
          <w:b/>
          <w:bCs/>
          <w:sz w:val="21"/>
          <w:szCs w:val="21"/>
        </w:rPr>
        <w:t xml:space="preserve">[entitles the Investor to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i/>
          <w:iCs/>
          <w:sz w:val="21"/>
          <w:szCs w:val="21"/>
        </w:rPr>
        <w:t xml:space="preserve">Resist making an ESG breach an event of default or a trigger for redemption. A reporting failure or a policy not adopted on time should produce a conversation and a plan, not a right to unwind the investment. A remediation mechanism is the proportionate answer.</w:t>
      </w:r>
    </w:p>
    <w:p>
      <w:pPr>
        <w:keepNext/>
        <w:spacing w:after="120" w:before="280"/>
        <w:outlineLvl w:val="0"/>
      </w:pPr>
      <w:r>
        <w:rPr>
          <w:rFonts w:ascii="Calibri" w:cs="Calibri" w:eastAsia="Calibri" w:hAnsi="Calibri"/>
          <w:b/>
          <w:bCs/>
          <w:color w:val="14161B"/>
          <w:sz w:val="22"/>
          <w:szCs w:val="22"/>
        </w:rPr>
        <w:t xml:space="preserve">7. GENERAL</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This letter is supplemental to the subscription agreement and the Shareholders’ Agreement, which prevail in the event of conflict.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This letter terminates when the Investor ceases to hold shares in the Company.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This letter is governed by the laws of Singapore.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[INVESTOR]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Annual ESG Report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3855"/>
        <w:gridCol w:w="1349"/>
        <w:gridCol w:w="1349"/>
        <w:gridCol w:w="1351"/>
      </w:tblGrid>
      <w:tr>
        <w:trPr>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Area</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Metric</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This year</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Last year</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Governance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Board meetings held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Independent directors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Policies adopted this year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[LIST]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[LIST]</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Whistleblowing reports received and resolved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People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employees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Of whom Singapore citizens and permanent residents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Women in the workforce and in senior roles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 / %]</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 / %]</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Voluntary turnover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Grievances raised and resolved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Training hours per employee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Flexible work requests received and agreed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Safety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Workplace injuries; lost time incidents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Near misses recorded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Environment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Electricity consumption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[kWh]</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[kWh]</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[Where measurable]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Business travel</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[Where measurable]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Waste and recycling arrangements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and privacy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Notifiable data breaches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Access or correction requests received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Compliance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Regulatory investigations or notices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1734"/>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Material ESG incidents notified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usually comes from the investor’s own obligations</w:t>
      </w:r>
    </w:p>
    <w:p>
      <w:pPr>
        <w:spacing w:after="60" w:line="264"/>
        <w:jc w:val="both"/>
      </w:pPr>
      <w:r>
        <w:rPr>
          <w:rFonts w:ascii="Calibri" w:cs="Calibri" w:eastAsia="Calibri" w:hAnsi="Calibri"/>
          <w:sz w:val="19"/>
          <w:szCs w:val="19"/>
        </w:rPr>
        <w:t xml:space="preserve">Funds increasingly commit to their limited partners on ESG matters and pass those commitments down to portfolio companies. Understanding that explains both why the request arrives and why the investor may have limited flexibility on the reporting content — though usually more on timing and proportionality.</w:t>
      </w:r>
    </w:p>
    <w:p>
      <w:pPr>
        <w:keepNext/>
        <w:spacing w:after="40" w:before="140"/>
      </w:pPr>
      <w:r>
        <w:rPr>
          <w:rFonts w:ascii="Calibri" w:cs="Calibri" w:eastAsia="Calibri" w:hAnsi="Calibri"/>
          <w:b/>
          <w:bCs/>
          <w:color w:val="14161B"/>
          <w:sz w:val="20"/>
          <w:szCs w:val="20"/>
        </w:rPr>
        <w:t xml:space="preserve">VIMA publishes a model</w:t>
      </w:r>
    </w:p>
    <w:p>
      <w:pPr>
        <w:spacing w:after="60" w:line="264"/>
        <w:jc w:val="both"/>
      </w:pPr>
      <w:r>
        <w:rPr>
          <w:rFonts w:ascii="Calibri" w:cs="Calibri" w:eastAsia="Calibri" w:hAnsi="Calibri"/>
          <w:sz w:val="19"/>
          <w:szCs w:val="19"/>
        </w:rPr>
        <w:t xml:space="preserve">The Venture Capital Investment Model Agreements include an ESG side letter drafted for Singapore. Starting from it is faster than negotiating a bespoke document and is recognised by investors and their counsel.</w:t>
      </w:r>
    </w:p>
    <w:p>
      <w:pPr>
        <w:keepNext/>
        <w:spacing w:after="40" w:before="140"/>
      </w:pPr>
      <w:r>
        <w:rPr>
          <w:rFonts w:ascii="Calibri" w:cs="Calibri" w:eastAsia="Calibri" w:hAnsi="Calibri"/>
          <w:b/>
          <w:bCs/>
          <w:color w:val="14161B"/>
          <w:sz w:val="20"/>
          <w:szCs w:val="20"/>
        </w:rPr>
        <w:t xml:space="preserve">Negotiate proportionality, not the principle</w:t>
      </w:r>
    </w:p>
    <w:p>
      <w:pPr>
        <w:spacing w:after="60" w:line="264"/>
        <w:jc w:val="both"/>
      </w:pPr>
      <w:r>
        <w:rPr>
          <w:rFonts w:ascii="Calibri" w:cs="Calibri" w:eastAsia="Calibri" w:hAnsi="Calibri"/>
          <w:sz w:val="19"/>
          <w:szCs w:val="19"/>
        </w:rPr>
        <w:t xml:space="preserve">Refusing ESG undertakings outright is rarely productive and is usually unnecessary — most of the baseline is legal obligation anyway. What is worth negotiating is proportionality: that undertakings scale with the company’s size and stage, and that reporting is not disproportionate to its resources. Clauses 1.2 and 1.3 do that work.</w:t>
      </w:r>
    </w:p>
    <w:p>
      <w:pPr>
        <w:keepNext/>
        <w:spacing w:after="40" w:before="140"/>
      </w:pPr>
      <w:r>
        <w:rPr>
          <w:rFonts w:ascii="Calibri" w:cs="Calibri" w:eastAsia="Calibri" w:hAnsi="Calibri"/>
          <w:b/>
          <w:bCs/>
          <w:color w:val="14161B"/>
          <w:sz w:val="20"/>
          <w:szCs w:val="20"/>
        </w:rPr>
        <w:t xml:space="preserve">Most of the baseline is already the law</w:t>
      </w:r>
    </w:p>
    <w:p>
      <w:pPr>
        <w:spacing w:after="60" w:line="264"/>
        <w:jc w:val="both"/>
      </w:pPr>
      <w:r>
        <w:rPr>
          <w:rFonts w:ascii="Calibri" w:cs="Calibri" w:eastAsia="Calibri" w:hAnsi="Calibri"/>
          <w:sz w:val="19"/>
          <w:szCs w:val="19"/>
        </w:rPr>
        <w:t xml:space="preserve">Written key employment terms, itemised payslips, work injury insurance, workplace safety obligations, a Data Protection Officer, and anti-discrimination practice are Singapore legal requirements. A company that cannot commit to Section 2 has a compliance problem, not an ESG problem.</w:t>
      </w:r>
    </w:p>
    <w:p>
      <w:pPr>
        <w:keepNext/>
        <w:spacing w:after="40" w:before="140"/>
      </w:pPr>
      <w:r>
        <w:rPr>
          <w:rFonts w:ascii="Calibri" w:cs="Calibri" w:eastAsia="Calibri" w:hAnsi="Calibri"/>
          <w:b/>
          <w:bCs/>
          <w:color w:val="14161B"/>
          <w:sz w:val="20"/>
          <w:szCs w:val="20"/>
        </w:rPr>
        <w:t xml:space="preserve">Tie commitments to triggers, not dates</w:t>
      </w:r>
    </w:p>
    <w:p>
      <w:pPr>
        <w:spacing w:after="60" w:line="264"/>
        <w:jc w:val="both"/>
      </w:pPr>
      <w:r>
        <w:rPr>
          <w:rFonts w:ascii="Calibri" w:cs="Calibri" w:eastAsia="Calibri" w:hAnsi="Calibri"/>
          <w:sz w:val="19"/>
          <w:szCs w:val="19"/>
        </w:rPr>
        <w:t xml:space="preserve">A commitment to adopt a grievance procedure within twelve months is arbitrary. Tying it to reaching twenty-five employees — the Workplace Fairness Act first-phase threshold — means the company builds it when it is actually needed and required. Section 5 offers both columns for that reason.</w:t>
      </w:r>
    </w:p>
    <w:p>
      <w:pPr>
        <w:keepNext/>
        <w:spacing w:after="40" w:before="140"/>
      </w:pPr>
      <w:r>
        <w:rPr>
          <w:rFonts w:ascii="Calibri" w:cs="Calibri" w:eastAsia="Calibri" w:hAnsi="Calibri"/>
          <w:b/>
          <w:bCs/>
          <w:color w:val="14161B"/>
          <w:sz w:val="20"/>
          <w:szCs w:val="20"/>
        </w:rPr>
        <w:t xml:space="preserve">Read the exclusion list against your roadmap</w:t>
      </w:r>
    </w:p>
    <w:p>
      <w:pPr>
        <w:spacing w:after="60" w:line="264"/>
        <w:jc w:val="both"/>
      </w:pPr>
      <w:r>
        <w:rPr>
          <w:rFonts w:ascii="Calibri" w:cs="Calibri" w:eastAsia="Calibri" w:hAnsi="Calibri"/>
          <w:sz w:val="19"/>
          <w:szCs w:val="19"/>
        </w:rPr>
        <w:t xml:space="preserve">Exclusion lists come from fund documents and can be broad. Check them against what the company might plausibly do in future, not only what it does today. A broad exclusion agreed casually can rule out a legitimate product line later.</w:t>
      </w:r>
    </w:p>
    <w:p>
      <w:pPr>
        <w:keepNext/>
        <w:spacing w:after="40" w:before="140"/>
      </w:pPr>
      <w:r>
        <w:rPr>
          <w:rFonts w:ascii="Calibri" w:cs="Calibri" w:eastAsia="Calibri" w:hAnsi="Calibri"/>
          <w:b/>
          <w:bCs/>
          <w:color w:val="14161B"/>
          <w:sz w:val="20"/>
          <w:szCs w:val="20"/>
        </w:rPr>
        <w:t xml:space="preserve">Resist default triggers for ESG breach</w:t>
      </w:r>
    </w:p>
    <w:p>
      <w:pPr>
        <w:spacing w:after="60" w:line="264"/>
        <w:jc w:val="both"/>
      </w:pPr>
      <w:r>
        <w:rPr>
          <w:rFonts w:ascii="Calibri" w:cs="Calibri" w:eastAsia="Calibri" w:hAnsi="Calibri"/>
          <w:sz w:val="19"/>
          <w:szCs w:val="19"/>
        </w:rPr>
        <w:t xml:space="preserve">An ESG breach should produce a remediation plan, not an event of default or a redemption right. A missed report or a policy adopted late is not a reason to unwind an investment. Clause 6.1 sets remediation as the primary consequence, and that is the position to hold.</w:t>
      </w:r>
    </w:p>
    <w:p>
      <w:pPr>
        <w:keepNext/>
        <w:spacing w:after="40" w:before="140"/>
      </w:pPr>
      <w:r>
        <w:rPr>
          <w:rFonts w:ascii="Calibri" w:cs="Calibri" w:eastAsia="Calibri" w:hAnsi="Calibri"/>
          <w:b/>
          <w:bCs/>
          <w:color w:val="14161B"/>
          <w:sz w:val="20"/>
          <w:szCs w:val="20"/>
        </w:rPr>
        <w:t xml:space="preserve">Define material incident narrowly and clearly</w:t>
      </w:r>
    </w:p>
    <w:p>
      <w:pPr>
        <w:spacing w:after="60" w:line="264"/>
        <w:jc w:val="both"/>
      </w:pPr>
      <w:r>
        <w:rPr>
          <w:rFonts w:ascii="Calibri" w:cs="Calibri" w:eastAsia="Calibri" w:hAnsi="Calibri"/>
          <w:sz w:val="19"/>
          <w:szCs w:val="19"/>
        </w:rPr>
        <w:t xml:space="preserve">An obligation to notify any ESG incident is unworkable. Clause 4.2 lists specific triggers — fatality or serious injury, material environmental incident, notifiable data breach, regulatory investigation, material allegation of discrimination or bribery. Specificity protects both sides.</w:t>
      </w:r>
    </w:p>
    <w:p>
      <w:pPr>
        <w:keepNext/>
        <w:spacing w:after="40" w:before="140"/>
      </w:pPr>
      <w:r>
        <w:rPr>
          <w:rFonts w:ascii="Calibri" w:cs="Calibri" w:eastAsia="Calibri" w:hAnsi="Calibri"/>
          <w:b/>
          <w:bCs/>
          <w:color w:val="14161B"/>
          <w:sz w:val="20"/>
          <w:szCs w:val="20"/>
        </w:rPr>
        <w:t xml:space="preserve">Protect the confidentiality of what you report</w:t>
      </w:r>
    </w:p>
    <w:p>
      <w:pPr>
        <w:spacing w:after="60" w:line="264"/>
        <w:jc w:val="both"/>
      </w:pPr>
      <w:r>
        <w:rPr>
          <w:rFonts w:ascii="Calibri" w:cs="Calibri" w:eastAsia="Calibri" w:hAnsi="Calibri"/>
          <w:sz w:val="19"/>
          <w:szCs w:val="19"/>
        </w:rPr>
        <w:t xml:space="preserve">ESG data includes workforce composition, incidents and grievances. Clause 4.4 restricts the investor to internal use and aggregated or anonymised reporting to its own investors. Without it, sensitive data can appear in a fund report in identifiable form.</w:t>
      </w:r>
    </w:p>
    <w:p>
      <w:pPr>
        <w:keepNext/>
        <w:spacing w:after="40" w:before="140"/>
      </w:pPr>
      <w:r>
        <w:rPr>
          <w:rFonts w:ascii="Calibri" w:cs="Calibri" w:eastAsia="Calibri" w:hAnsi="Calibri"/>
          <w:b/>
          <w:bCs/>
          <w:color w:val="14161B"/>
          <w:sz w:val="20"/>
          <w:szCs w:val="20"/>
        </w:rPr>
        <w:t xml:space="preserve">Report only what you can actually measure</w:t>
      </w:r>
    </w:p>
    <w:p>
      <w:pPr>
        <w:spacing w:after="60" w:line="264"/>
        <w:jc w:val="both"/>
      </w:pPr>
      <w:r>
        <w:rPr>
          <w:rFonts w:ascii="Calibri" w:cs="Calibri" w:eastAsia="Calibri" w:hAnsi="Calibri"/>
          <w:sz w:val="19"/>
          <w:szCs w:val="19"/>
        </w:rPr>
        <w:t xml:space="preserve">A startup in serviced offices cannot meaningfully report electricity consumption or emissions. Schedule 1 marks those rows as applying where measurable. Committing to metrics you cannot produce leads to either fabrication or an annual apology.</w:t>
      </w:r>
    </w:p>
    <w:p>
      <w:pPr>
        <w:keepNext/>
        <w:spacing w:after="40" w:before="140"/>
      </w:pPr>
      <w:r>
        <w:rPr>
          <w:rFonts w:ascii="Calibri" w:cs="Calibri" w:eastAsia="Calibri" w:hAnsi="Calibri"/>
          <w:b/>
          <w:bCs/>
          <w:color w:val="14161B"/>
          <w:sz w:val="20"/>
          <w:szCs w:val="20"/>
        </w:rPr>
        <w:t xml:space="preserve">Appoint someone, even part time</w:t>
      </w:r>
    </w:p>
    <w:p>
      <w:pPr>
        <w:spacing w:after="60" w:line="264"/>
        <w:jc w:val="both"/>
      </w:pPr>
      <w:r>
        <w:rPr>
          <w:rFonts w:ascii="Calibri" w:cs="Calibri" w:eastAsia="Calibri" w:hAnsi="Calibri"/>
          <w:sz w:val="19"/>
          <w:szCs w:val="19"/>
        </w:rPr>
        <w:t xml:space="preserve">The single most useful commitment is a named person responsible for ESG matters. Without an owner, every other undertaking becomes nobody’s job and the first report is assembled in a panic.</w:t>
      </w:r>
    </w:p>
    <w:p>
      <w:pPr>
        <w:keepNext/>
        <w:spacing w:after="40" w:before="140"/>
      </w:pPr>
      <w:r>
        <w:rPr>
          <w:rFonts w:ascii="Calibri" w:cs="Calibri" w:eastAsia="Calibri" w:hAnsi="Calibri"/>
          <w:b/>
          <w:bCs/>
          <w:color w:val="14161B"/>
          <w:sz w:val="20"/>
          <w:szCs w:val="20"/>
        </w:rPr>
        <w:t xml:space="preserve">Use it as a prompt, not a burden</w:t>
      </w:r>
    </w:p>
    <w:p>
      <w:pPr>
        <w:spacing w:after="60" w:line="264"/>
        <w:jc w:val="both"/>
      </w:pPr>
      <w:r>
        <w:rPr>
          <w:rFonts w:ascii="Calibri" w:cs="Calibri" w:eastAsia="Calibri" w:hAnsi="Calibri"/>
          <w:sz w:val="19"/>
          <w:szCs w:val="19"/>
        </w:rPr>
        <w:t xml:space="preserve">The report structure in Schedule 1 covers governance, people, safety, environment, data and compliance — the same ground a well-run board should review anyway. Companies that treat it as a genuine annual check get more from it than those that treat it as investor paperwork.</w:t>
      </w:r>
    </w:p>
    <w:p>
      <w:pPr>
        <w:keepNext/>
        <w:spacing w:after="40" w:before="140"/>
      </w:pPr>
      <w:r>
        <w:rPr>
          <w:rFonts w:ascii="Calibri" w:cs="Calibri" w:eastAsia="Calibri" w:hAnsi="Calibri"/>
          <w:b/>
          <w:bCs/>
          <w:color w:val="14161B"/>
          <w:sz w:val="20"/>
          <w:szCs w:val="20"/>
        </w:rPr>
        <w:t xml:space="preserve">The Workplace Fairness Act is coming</w:t>
      </w:r>
    </w:p>
    <w:p>
      <w:pPr>
        <w:spacing w:after="60" w:line="264"/>
        <w:jc w:val="both"/>
      </w:pPr>
      <w:r>
        <w:rPr>
          <w:rFonts w:ascii="Calibri" w:cs="Calibri" w:eastAsia="Calibri" w:hAnsi="Calibri"/>
          <w:sz w:val="19"/>
          <w:szCs w:val="19"/>
        </w:rPr>
        <w:t xml:space="preserve">Grievance procedures will be mandatory for employers of twenty-five or more when the Act commences at the end of 2027. Building it under an ESG commitment now is easier than retrofitting under statutory pressure later, and it satisfies both.</w:t>
      </w:r>
    </w:p>
    <w:p>
      <w:pPr>
        <w:keepNext/>
        <w:spacing w:after="40" w:before="140"/>
      </w:pPr>
      <w:r>
        <w:rPr>
          <w:rFonts w:ascii="Calibri" w:cs="Calibri" w:eastAsia="Calibri" w:hAnsi="Calibri"/>
          <w:b/>
          <w:bCs/>
          <w:color w:val="14161B"/>
          <w:sz w:val="20"/>
          <w:szCs w:val="20"/>
        </w:rPr>
        <w:t xml:space="preserve">Review it at each round</w:t>
      </w:r>
    </w:p>
    <w:p>
      <w:pPr>
        <w:spacing w:after="60" w:line="264"/>
        <w:jc w:val="both"/>
      </w:pPr>
      <w:r>
        <w:rPr>
          <w:rFonts w:ascii="Calibri" w:cs="Calibri" w:eastAsia="Calibri" w:hAnsi="Calibri"/>
          <w:sz w:val="19"/>
          <w:szCs w:val="19"/>
        </w:rPr>
        <w:t xml:space="preserve">A letter agreed at seed may be inadequate at Series B, and one agreed at Series A may be disproportionate if the company contracts. Clause 1.2 provides for review. Later investors will frequently want their own letter, and consolidating them is worth doing.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market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VIMA is periodically updated, ESG reporting expectations are developing quickly, and the Workplace Fairness Act and other obligations commence in stages — have any ESG side letter reviewed alongside the subscription documents.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2026-08-22T06:55:31.760Z</dcterms:created>
  <dcterms:modified xsi:type="dcterms:W3CDTF">2026-08-22T06:55:31.760Z</dcterms:modified>
</cp:coreProperties>
</file>

<file path=docProps/custom.xml><?xml version="1.0" encoding="utf-8"?>
<Properties xmlns="http://schemas.openxmlformats.org/officeDocument/2006/custom-properties" xmlns:vt="http://schemas.openxmlformats.org/officeDocument/2006/docPropsVTypes"/>
</file>