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EMPLOYMENT RECORDS</w:t>
      </w:r>
    </w:p>
    <w:p>
      <w:pPr>
        <w:spacing w:after="260"/>
        <w:jc w:val="center"/>
      </w:pPr>
      <w:r>
        <w:rPr>
          <w:rFonts w:ascii="Calibri" w:cs="Calibri" w:eastAsia="Calibri" w:hAnsi="Calibri"/>
          <w:i/>
          <w:iCs/>
          <w:color w:val="6E7480"/>
          <w:sz w:val="19"/>
          <w:szCs w:val="19"/>
        </w:rPr>
        <w:t xml:space="preserve">Statutory registers and retention</w:t>
      </w:r>
    </w:p>
    <w:p>
      <w:pPr>
        <w:spacing w:after="180" w:before="0" w:line="276"/>
        <w:jc w:val="both"/>
      </w:pPr>
      <w:r>
        <w:rPr>
          <w:rFonts w:ascii="Calibri" w:cs="Calibri" w:eastAsia="Calibri" w:hAnsi="Calibri"/>
          <w:i/>
          <w:iCs/>
          <w:color w:val="6E7480"/>
          <w:sz w:val="21"/>
          <w:szCs w:val="21"/>
        </w:rPr>
        <w:t xml:space="preserve">Employers must keep employee records and salary records for every employee covered by the Employment Act, in the prescribed form, and produce them on request. This is the file an inspection asks for first, and it is the employer’s only evidence in a salary dispute — where the records are absent, the employee’s account is what stands.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Records maintained 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Format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[Payroll system / Spreadsheet / Physical file]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Location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 OR SYSTEM]</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Retention — current employees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Latest </w:t>
            </w:r>
            <w:r>
              <w:rPr>
                <w:rFonts w:ascii="Calibri" w:cs="Calibri" w:eastAsia="Calibri" w:hAnsi="Calibri"/>
                <w:b/>
                <w:bCs/>
                <w:sz w:val="19"/>
                <w:szCs w:val="19"/>
              </w:rPr>
              <w:t xml:space="preserve">[2]</w:t>
            </w:r>
            <w:r>
              <w:rPr>
                <w:rFonts w:ascii="Calibri" w:cs="Calibri" w:eastAsia="Calibri" w:hAnsi="Calibri"/>
                <w:sz w:val="19"/>
                <w:szCs w:val="19"/>
              </w:rPr>
              <w:t xml:space="preserve"> years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Retention — former employees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w:t>
            </w:r>
            <w:r>
              <w:rPr>
                <w:rFonts w:ascii="Calibri" w:cs="Calibri" w:eastAsia="Calibri" w:hAnsi="Calibri"/>
                <w:sz w:val="19"/>
                <w:szCs w:val="19"/>
              </w:rPr>
              <w:t xml:space="preserve"> year after the employee leaves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Backup and access control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review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TWO RECORDS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4433"/>
        <w:gridCol w:w="3085"/>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it contains</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Who it covers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Employee record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Identity, role, employment dates, terms and leave particulars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 employee covered by the Employment Act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Salary record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period, amounts paid, allowances, deductions, overtime, net pay</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 employee covered by the Employment Act, for each salary period</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Records may be kept in soft or hard copy. What matters is that they are complete, accurate, retrievable and produced on request.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Records must be kept for </w:t>
      </w:r>
      <w:r>
        <w:rPr>
          <w:rFonts w:ascii="Calibri" w:cs="Calibri" w:eastAsia="Calibri" w:hAnsi="Calibri"/>
          <w:b/>
          <w:bCs/>
          <w:sz w:val="21"/>
          <w:szCs w:val="21"/>
        </w:rPr>
        <w:t xml:space="preserve">current</w:t>
      </w:r>
      <w:r>
        <w:rPr>
          <w:rFonts w:ascii="Calibri" w:cs="Calibri" w:eastAsia="Calibri" w:hAnsi="Calibri"/>
          <w:sz w:val="21"/>
          <w:szCs w:val="21"/>
        </w:rPr>
        <w:t xml:space="preserve"> employees for the latest two years, and for </w:t>
      </w:r>
      <w:r>
        <w:rPr>
          <w:rFonts w:ascii="Calibri" w:cs="Calibri" w:eastAsia="Calibri" w:hAnsi="Calibri"/>
          <w:b/>
          <w:bCs/>
          <w:sz w:val="21"/>
          <w:szCs w:val="21"/>
        </w:rPr>
        <w:t xml:space="preserve">former</w:t>
      </w:r>
      <w:r>
        <w:rPr>
          <w:rFonts w:ascii="Calibri" w:cs="Calibri" w:eastAsia="Calibri" w:hAnsi="Calibri"/>
          <w:sz w:val="21"/>
          <w:szCs w:val="21"/>
        </w:rPr>
        <w:t xml:space="preserve"> employees for one year after they leave.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i/>
          <w:iCs/>
          <w:sz w:val="21"/>
          <w:szCs w:val="21"/>
        </w:rPr>
        <w:t xml:space="preserve">Other laws impose longer retention on overlapping data — tax records, contribution records and work injury documentation among them. Retain to the longest applicable period rather than the shortest.</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Employee Record</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503"/>
        <w:gridCol w:w="1203"/>
        <w:gridCol w:w="1052"/>
        <w:gridCol w:w="1203"/>
        <w:gridCol w:w="1203"/>
        <w:gridCol w:w="902"/>
        <w:gridCol w:w="902"/>
        <w:gridCol w:w="902"/>
        <w:gridCol w:w="751"/>
        <w:gridCol w:w="1052"/>
        <w:gridCol w:w="1052"/>
        <w:gridCol w:w="1052"/>
        <w:gridCol w:w="902"/>
        <w:gridCol w:w="908"/>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ID / FIN</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 of birth</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Nationality / status</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Job title</w:t>
            </w:r>
          </w:p>
        </w:tc>
        <w:tc>
          <w:tcPr>
            <w:tcW w:type="dxa" w:w="9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 joined</w:t>
            </w:r>
          </w:p>
        </w:tc>
        <w:tc>
          <w:tcPr>
            <w:tcW w:type="dxa" w:w="9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 left</w:t>
            </w:r>
          </w:p>
        </w:tc>
        <w:tc>
          <w:tcPr>
            <w:tcW w:type="dxa" w:w="9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Working hours</w:t>
            </w:r>
          </w:p>
        </w:tc>
        <w:tc>
          <w:tcPr>
            <w:tcW w:type="dxa" w:w="7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Rest day</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Basic salary</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Allowances</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Notice period</w:t>
            </w:r>
          </w:p>
        </w:tc>
        <w:tc>
          <w:tcPr>
            <w:tcW w:type="dxa" w:w="9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Leave entitlement</w:t>
            </w:r>
          </w:p>
        </w:tc>
        <w:tc>
          <w:tcPr>
            <w:tcW w:type="dxa" w:w="9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Part IV covered</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[STATUS]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[TITLE]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[HOURS]</w:t>
            </w:r>
          </w:p>
        </w:tc>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[STATUS]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[TITLE]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[HOURS]</w:t>
            </w:r>
          </w:p>
        </w:tc>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[STATUS]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[TITLE]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[HOURS]</w:t>
            </w:r>
          </w:p>
        </w:tc>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[PERIOD]</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[Y/N]</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Salary Record</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38"/>
        <w:gridCol w:w="1606"/>
        <w:gridCol w:w="1168"/>
        <w:gridCol w:w="1022"/>
        <w:gridCol w:w="1022"/>
        <w:gridCol w:w="1168"/>
        <w:gridCol w:w="1752"/>
        <w:gridCol w:w="1022"/>
        <w:gridCol w:w="1022"/>
        <w:gridCol w:w="1752"/>
        <w:gridCol w:w="1022"/>
        <w:gridCol w:w="1022"/>
        <w:gridCol w:w="1022"/>
      </w:tblGrid>
      <w:tr>
        <w:trPr>
          <w:tblHeader/>
        </w:trPr>
        <w:tc>
          <w:tcPr>
            <w:tcW w:type="dxa" w:w="4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16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16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Salary period from</w:t>
            </w:r>
          </w:p>
        </w:tc>
        <w:tc>
          <w:tcPr>
            <w:tcW w:type="dxa" w:w="10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to</w:t>
            </w:r>
          </w:p>
        </w:tc>
        <w:tc>
          <w:tcPr>
            <w:tcW w:type="dxa" w:w="10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 paid</w:t>
            </w:r>
          </w:p>
        </w:tc>
        <w:tc>
          <w:tcPr>
            <w:tcW w:type="dxa" w:w="116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Basic salary</w:t>
            </w:r>
          </w:p>
        </w:tc>
        <w:tc>
          <w:tcPr>
            <w:tcW w:type="dxa" w:w="17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Allowances (itemised)</w:t>
            </w:r>
          </w:p>
        </w:tc>
        <w:tc>
          <w:tcPr>
            <w:tcW w:type="dxa" w:w="10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Overtime hours</w:t>
            </w:r>
          </w:p>
        </w:tc>
        <w:tc>
          <w:tcPr>
            <w:tcW w:type="dxa" w:w="10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Overtime pay</w:t>
            </w:r>
          </w:p>
        </w:tc>
        <w:tc>
          <w:tcPr>
            <w:tcW w:type="dxa" w:w="17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Deductions (itemised)</w:t>
            </w:r>
          </w:p>
        </w:tc>
        <w:tc>
          <w:tcPr>
            <w:tcW w:type="dxa" w:w="10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Employee CPF</w:t>
            </w:r>
          </w:p>
        </w:tc>
        <w:tc>
          <w:tcPr>
            <w:tcW w:type="dxa" w:w="10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Net paid</w:t>
            </w:r>
          </w:p>
        </w:tc>
        <w:tc>
          <w:tcPr>
            <w:tcW w:type="dxa" w:w="10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Payslip issued</w:t>
            </w:r>
          </w:p>
        </w:tc>
      </w:tr>
      <w:tr>
        <w:tc>
          <w:tcPr>
            <w:tcW w:type="dxa" w:w="438"/>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16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16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16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7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[DETAIL]</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[HOURS]</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7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[DETAIL]</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c>
          <w:tcPr>
            <w:tcW w:type="dxa" w:w="438"/>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16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16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16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7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[DETAIL]</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[HOURS]</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7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[DETAIL]</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c>
          <w:tcPr>
            <w:tcW w:type="dxa" w:w="438"/>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w:t>
            </w:r>
          </w:p>
        </w:tc>
        <w:tc>
          <w:tcPr>
            <w:tcW w:type="dxa" w:w="16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16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16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7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[DETAIL]</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[HOURS]</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7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[DETAIL]</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102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Leave Record</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804"/>
        <w:gridCol w:w="1353"/>
        <w:gridCol w:w="902"/>
        <w:gridCol w:w="1052"/>
        <w:gridCol w:w="1353"/>
        <w:gridCol w:w="1503"/>
        <w:gridCol w:w="1203"/>
        <w:gridCol w:w="1203"/>
        <w:gridCol w:w="1353"/>
        <w:gridCol w:w="1052"/>
        <w:gridCol w:w="902"/>
        <w:gridCol w:w="907"/>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Annual entitlement</w:t>
            </w:r>
          </w:p>
        </w:tc>
        <w:tc>
          <w:tcPr>
            <w:tcW w:type="dxa" w:w="9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Taken</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Balance</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Sick — outpatient</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Sick — hospitalisation</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Maternity</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Paternity</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Shared parental</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Childcare</w:t>
            </w:r>
          </w:p>
        </w:tc>
        <w:tc>
          <w:tcPr>
            <w:tcW w:type="dxa" w:w="9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Public holidays</w:t>
            </w:r>
          </w:p>
        </w:tc>
        <w:tc>
          <w:tcPr>
            <w:tcW w:type="dxa" w:w="9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Unpaid</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[WEEKS]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[WEEKS]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[WEEKS]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[WEEKS]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[WEEKS]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[WEEKS]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[WEEKS]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[WEEKS]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[WEEKS]</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c>
          <w:tcPr>
            <w:tcW w:type="dxa" w:w="9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[DAYS]</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2. RETENTION ACROSS ALL OBLIGATIONS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2120"/>
        <w:gridCol w:w="3471"/>
      </w:tblGrid>
      <w:tr>
        <w:trPr>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Retention</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Source of the obligation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record — current employees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Latest 2 years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Act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record — former employees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 year after leaving</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Act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record and payslips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above</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Act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Provident Fund contribution records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Provident Fund legislation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records, income reporting and clearance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Income tax legislation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pass records, quota and levy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of Foreign Manpower framework</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Fair Consideration Framework advertising and assessment records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Fair Consideration Framework</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Workplace safety, risk assessments and incident records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Workplace Safety and Health legislation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injury compensation claims and insurance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Injury Compensation Act</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Due inquiry, grievance and disciplinary records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Limitation periods and evidential need</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Recruitment records for unsuccessful applicants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Personal Data Protection Act — retention limitation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[SOURCE]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Retention limitation under the Personal Data Protection Act cuts the other way: personal data must not be kept once the purpose has ended and retention is no longer necessary for legal or business reasons. Keeping everything forever is not a safe default — it is a separate contravention.</w:t>
      </w:r>
    </w:p>
    <w:p>
      <w:pPr>
        <w:keepNext/>
        <w:spacing w:after="120" w:before="280"/>
        <w:outlineLvl w:val="0"/>
      </w:pPr>
      <w:r>
        <w:rPr>
          <w:rFonts w:ascii="Calibri" w:cs="Calibri" w:eastAsia="Calibri" w:hAnsi="Calibri"/>
          <w:b/>
          <w:bCs/>
          <w:color w:val="14161B"/>
          <w:sz w:val="22"/>
          <w:szCs w:val="22"/>
        </w:rPr>
        <w:t xml:space="preserve">3. CONTROLS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879"/>
        <w:gridCol w:w="1638"/>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87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Control</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Frequency</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new joiner added to the employee record within the first pay period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joining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Key employment terms issued within 14 days and filed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joining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record completed for every employee for every salary period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Payslip issue date recorded against each salary period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Allowances and deductions recorded individually, not aggregated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Overtime hours recorded, not only overtime pay</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 record updated as leave is taken, not reconstructed at year end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Part IV coverage recorded per employee and reviewed on promotion</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change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Changes to terms recorded and the notification letter filed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change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Leavers retained for the required period, then securely disposed of</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Records retrievable within a working day if requested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Access restricted to those who need it; access log reviewed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Quarterly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Backup verified by test restore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Retention schedule applied — data beyond the period disposed of</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These records are the employer’s evidence, not a formality</w:t>
      </w:r>
    </w:p>
    <w:p>
      <w:pPr>
        <w:spacing w:after="60" w:line="264"/>
        <w:jc w:val="both"/>
      </w:pPr>
      <w:r>
        <w:rPr>
          <w:rFonts w:ascii="Calibri" w:cs="Calibri" w:eastAsia="Calibri" w:hAnsi="Calibri"/>
          <w:sz w:val="19"/>
          <w:szCs w:val="19"/>
        </w:rPr>
        <w:t xml:space="preserve">In a salary or leave dispute at the Tripartite Alliance for Dispute Management or the Employment Claims Tribunal, the employer is the party expected to hold the records. Where they are missing, incomplete or reconstructed after the fact, the employee’s account of what was worked and what was paid is generally what stands. The records are worth keeping for that reason alone.</w:t>
      </w:r>
    </w:p>
    <w:p>
      <w:pPr>
        <w:keepNext/>
        <w:spacing w:after="40" w:before="140"/>
      </w:pPr>
      <w:r>
        <w:rPr>
          <w:rFonts w:ascii="Calibri" w:cs="Calibri" w:eastAsia="Calibri" w:hAnsi="Calibri"/>
          <w:b/>
          <w:bCs/>
          <w:color w:val="14161B"/>
          <w:sz w:val="20"/>
          <w:szCs w:val="20"/>
        </w:rPr>
        <w:t xml:space="preserve">Two years current, one year after leaving</w:t>
      </w:r>
    </w:p>
    <w:p>
      <w:pPr>
        <w:spacing w:after="60" w:line="264"/>
        <w:jc w:val="both"/>
      </w:pPr>
      <w:r>
        <w:rPr>
          <w:rFonts w:ascii="Calibri" w:cs="Calibri" w:eastAsia="Calibri" w:hAnsi="Calibri"/>
          <w:sz w:val="19"/>
          <w:szCs w:val="19"/>
        </w:rPr>
        <w:t xml:space="preserve">Employee and salary records must be kept for current employees for the latest two years, and for former employees for one year after they leave. Note that these are the Employment Act minimums — other obligations run longer on overlapping data.</w:t>
      </w:r>
    </w:p>
    <w:p>
      <w:pPr>
        <w:keepNext/>
        <w:spacing w:after="40" w:before="140"/>
      </w:pPr>
      <w:r>
        <w:rPr>
          <w:rFonts w:ascii="Calibri" w:cs="Calibri" w:eastAsia="Calibri" w:hAnsi="Calibri"/>
          <w:b/>
          <w:bCs/>
          <w:color w:val="14161B"/>
          <w:sz w:val="20"/>
          <w:szCs w:val="20"/>
        </w:rPr>
        <w:t xml:space="preserve">Retain to the longest applicable period</w:t>
      </w:r>
    </w:p>
    <w:p>
      <w:pPr>
        <w:spacing w:after="60" w:line="264"/>
        <w:jc w:val="both"/>
      </w:pPr>
      <w:r>
        <w:rPr>
          <w:rFonts w:ascii="Calibri" w:cs="Calibri" w:eastAsia="Calibri" w:hAnsi="Calibri"/>
          <w:sz w:val="19"/>
          <w:szCs w:val="19"/>
        </w:rPr>
        <w:t xml:space="preserve">Tax, contribution, work pass and safety records all have their own retention requirements, several of them longer than the Employment Act period. Disposing of a personnel file at the Employment Act minimum can destroy records needed for a tax enquiry or an injury claim. Section 2 sets them out together for that reason.</w:t>
      </w:r>
    </w:p>
    <w:p>
      <w:pPr>
        <w:keepNext/>
        <w:spacing w:after="40" w:before="140"/>
      </w:pPr>
      <w:r>
        <w:rPr>
          <w:rFonts w:ascii="Calibri" w:cs="Calibri" w:eastAsia="Calibri" w:hAnsi="Calibri"/>
          <w:b/>
          <w:bCs/>
          <w:color w:val="14161B"/>
          <w:sz w:val="20"/>
          <w:szCs w:val="20"/>
        </w:rPr>
        <w:t xml:space="preserve">But do not keep everything forever</w:t>
      </w:r>
    </w:p>
    <w:p>
      <w:pPr>
        <w:spacing w:after="60" w:line="264"/>
        <w:jc w:val="both"/>
      </w:pPr>
      <w:r>
        <w:rPr>
          <w:rFonts w:ascii="Calibri" w:cs="Calibri" w:eastAsia="Calibri" w:hAnsi="Calibri"/>
          <w:sz w:val="19"/>
          <w:szCs w:val="19"/>
        </w:rPr>
        <w:t xml:space="preserve">Retention limitation under the Personal Data Protection Act requires personal data to be disposed of once the purpose has ended and retention is no longer necessary. Indefinite retention of unsuccessful applicant data, or of leaver files decades old, is a contravention in the other direction. Control 14 applies the schedule rather than defaulting to keeping.</w:t>
      </w:r>
    </w:p>
    <w:p>
      <w:pPr>
        <w:keepNext/>
        <w:spacing w:after="40" w:before="140"/>
      </w:pPr>
      <w:r>
        <w:rPr>
          <w:rFonts w:ascii="Calibri" w:cs="Calibri" w:eastAsia="Calibri" w:hAnsi="Calibri"/>
          <w:b/>
          <w:bCs/>
          <w:color w:val="14161B"/>
          <w:sz w:val="20"/>
          <w:szCs w:val="20"/>
        </w:rPr>
        <w:t xml:space="preserve">Record overtime hours, not just the amount</w:t>
      </w:r>
    </w:p>
    <w:p>
      <w:pPr>
        <w:spacing w:after="60" w:line="264"/>
        <w:jc w:val="both"/>
      </w:pPr>
      <w:r>
        <w:rPr>
          <w:rFonts w:ascii="Calibri" w:cs="Calibri" w:eastAsia="Calibri" w:hAnsi="Calibri"/>
          <w:sz w:val="19"/>
          <w:szCs w:val="19"/>
        </w:rPr>
        <w:t xml:space="preserve">The salary record and the payslip both require the number of overtime hours worked. Recording only a lump sum makes the computation unverifiable, and overtime claims are among the most common disputes. Note the rate is 1.5 times the hourly basic rate for employees covered by Part IV.</w:t>
      </w:r>
    </w:p>
    <w:p>
      <w:pPr>
        <w:keepNext/>
        <w:spacing w:after="40" w:before="140"/>
      </w:pPr>
      <w:r>
        <w:rPr>
          <w:rFonts w:ascii="Calibri" w:cs="Calibri" w:eastAsia="Calibri" w:hAnsi="Calibri"/>
          <w:b/>
          <w:bCs/>
          <w:color w:val="14161B"/>
          <w:sz w:val="20"/>
          <w:szCs w:val="20"/>
        </w:rPr>
        <w:t xml:space="preserve">Itemise — aggregation defeats the record</w:t>
      </w:r>
    </w:p>
    <w:p>
      <w:pPr>
        <w:spacing w:after="60" w:line="264"/>
        <w:jc w:val="both"/>
      </w:pPr>
      <w:r>
        <w:rPr>
          <w:rFonts w:ascii="Calibri" w:cs="Calibri" w:eastAsia="Calibri" w:hAnsi="Calibri"/>
          <w:sz w:val="19"/>
          <w:szCs w:val="19"/>
        </w:rPr>
        <w:t xml:space="preserve">Allowances and deductions must be recorded individually. A single line reading "allowances" or "deductions" cannot be reconciled to the key employment terms or the payslip, and is the defect most often found on inspection.</w:t>
      </w:r>
    </w:p>
    <w:p>
      <w:pPr>
        <w:keepNext/>
        <w:spacing w:after="40" w:before="140"/>
      </w:pPr>
      <w:r>
        <w:rPr>
          <w:rFonts w:ascii="Calibri" w:cs="Calibri" w:eastAsia="Calibri" w:hAnsi="Calibri"/>
          <w:b/>
          <w:bCs/>
          <w:color w:val="14161B"/>
          <w:sz w:val="20"/>
          <w:szCs w:val="20"/>
        </w:rPr>
        <w:t xml:space="preserve">Update leave as it is taken</w:t>
      </w:r>
    </w:p>
    <w:p>
      <w:pPr>
        <w:spacing w:after="60" w:line="264"/>
        <w:jc w:val="both"/>
      </w:pPr>
      <w:r>
        <w:rPr>
          <w:rFonts w:ascii="Calibri" w:cs="Calibri" w:eastAsia="Calibri" w:hAnsi="Calibri"/>
          <w:sz w:val="19"/>
          <w:szCs w:val="19"/>
        </w:rPr>
        <w:t xml:space="preserve">Leave records reconstructed at year end from emails and memory are the source of most final-settlement disputes over encashment. Control 7 requires contemporaneous updating. The leave balance in a final settlement should be traceable to a record, not to a calculation done on the day.</w:t>
      </w:r>
    </w:p>
    <w:p>
      <w:pPr>
        <w:keepNext/>
        <w:spacing w:after="40" w:before="140"/>
      </w:pPr>
      <w:r>
        <w:rPr>
          <w:rFonts w:ascii="Calibri" w:cs="Calibri" w:eastAsia="Calibri" w:hAnsi="Calibri"/>
          <w:b/>
          <w:bCs/>
          <w:color w:val="14161B"/>
          <w:sz w:val="20"/>
          <w:szCs w:val="20"/>
        </w:rPr>
        <w:t xml:space="preserve">Record Part IV coverage per employee</w:t>
      </w:r>
    </w:p>
    <w:p>
      <w:pPr>
        <w:spacing w:after="60" w:line="264"/>
        <w:jc w:val="both"/>
      </w:pPr>
      <w:r>
        <w:rPr>
          <w:rFonts w:ascii="Calibri" w:cs="Calibri" w:eastAsia="Calibri" w:hAnsi="Calibri"/>
          <w:sz w:val="19"/>
          <w:szCs w:val="19"/>
        </w:rPr>
        <w:t xml:space="preserve">Whether an employee is covered by Part IV determines hours, rest day and overtime entitlements, and coverage changes on promotion or when salary crosses the threshold. Recording it once at hire and never revisiting it produces overtime paid to people not entitled, or withheld from people who are.</w:t>
      </w:r>
    </w:p>
    <w:p>
      <w:pPr>
        <w:keepNext/>
        <w:spacing w:after="40" w:before="140"/>
      </w:pPr>
      <w:r>
        <w:rPr>
          <w:rFonts w:ascii="Calibri" w:cs="Calibri" w:eastAsia="Calibri" w:hAnsi="Calibri"/>
          <w:b/>
          <w:bCs/>
          <w:color w:val="14161B"/>
          <w:sz w:val="20"/>
          <w:szCs w:val="20"/>
        </w:rPr>
        <w:t xml:space="preserve">Soft copy is fine; retrievable is the test</w:t>
      </w:r>
    </w:p>
    <w:p>
      <w:pPr>
        <w:spacing w:after="60" w:line="264"/>
        <w:jc w:val="both"/>
      </w:pPr>
      <w:r>
        <w:rPr>
          <w:rFonts w:ascii="Calibri" w:cs="Calibri" w:eastAsia="Calibri" w:hAnsi="Calibri"/>
          <w:sz w:val="19"/>
          <w:szCs w:val="19"/>
        </w:rPr>
        <w:t xml:space="preserve">Records may be kept electronically. What matters is completeness and the ability to produce them on request. A payroll system that holds the data but cannot export a salary record in the prescribed form is a practical problem when an inspection asks for it. Control 11 tests retrievability before it is needed.</w:t>
      </w:r>
    </w:p>
    <w:p>
      <w:pPr>
        <w:keepNext/>
        <w:spacing w:after="40" w:before="140"/>
      </w:pPr>
      <w:r>
        <w:rPr>
          <w:rFonts w:ascii="Calibri" w:cs="Calibri" w:eastAsia="Calibri" w:hAnsi="Calibri"/>
          <w:b/>
          <w:bCs/>
          <w:color w:val="14161B"/>
          <w:sz w:val="20"/>
          <w:szCs w:val="20"/>
        </w:rPr>
        <w:t xml:space="preserve">File the paper trail alongside the register</w:t>
      </w:r>
    </w:p>
    <w:p>
      <w:pPr>
        <w:spacing w:after="60" w:line="264"/>
        <w:jc w:val="both"/>
      </w:pPr>
      <w:r>
        <w:rPr>
          <w:rFonts w:ascii="Calibri" w:cs="Calibri" w:eastAsia="Calibri" w:hAnsi="Calibri"/>
          <w:sz w:val="19"/>
          <w:szCs w:val="19"/>
        </w:rPr>
        <w:t xml:space="preserve">Key employment terms, letters notifying changes to terms, warning letters, due inquiry records and grievance outcomes belong with the personnel file. The register shows the position; the documents show how it came about, which is what a dispute turns on.</w:t>
      </w:r>
    </w:p>
    <w:p>
      <w:pPr>
        <w:keepNext/>
        <w:spacing w:after="40" w:before="140"/>
      </w:pPr>
      <w:r>
        <w:rPr>
          <w:rFonts w:ascii="Calibri" w:cs="Calibri" w:eastAsia="Calibri" w:hAnsi="Calibri"/>
          <w:b/>
          <w:bCs/>
          <w:color w:val="14161B"/>
          <w:sz w:val="20"/>
          <w:szCs w:val="20"/>
        </w:rPr>
        <w:t xml:space="preserve">Restrict access — this is sensitive personal data</w:t>
      </w:r>
    </w:p>
    <w:p>
      <w:pPr>
        <w:spacing w:after="60" w:line="264"/>
        <w:jc w:val="both"/>
      </w:pPr>
      <w:r>
        <w:rPr>
          <w:rFonts w:ascii="Calibri" w:cs="Calibri" w:eastAsia="Calibri" w:hAnsi="Calibri"/>
          <w:sz w:val="19"/>
          <w:szCs w:val="19"/>
        </w:rPr>
        <w:t xml:space="preserve">Personnel files contain identification numbers, salary, health information and disciplinary history. Access should be role-based, reviewed, and logged. Wide access to the payroll drive is a common and significant data protection weakness.</w:t>
      </w:r>
    </w:p>
    <w:p>
      <w:pPr>
        <w:keepNext/>
        <w:spacing w:after="40" w:before="140"/>
      </w:pPr>
      <w:r>
        <w:rPr>
          <w:rFonts w:ascii="Calibri" w:cs="Calibri" w:eastAsia="Calibri" w:hAnsi="Calibri"/>
          <w:b/>
          <w:bCs/>
          <w:color w:val="14161B"/>
          <w:sz w:val="20"/>
          <w:szCs w:val="20"/>
        </w:rPr>
        <w:t xml:space="preserve">Test the backup</w:t>
      </w:r>
    </w:p>
    <w:p>
      <w:pPr>
        <w:spacing w:after="60" w:line="264"/>
        <w:jc w:val="both"/>
      </w:pPr>
      <w:r>
        <w:rPr>
          <w:rFonts w:ascii="Calibri" w:cs="Calibri" w:eastAsia="Calibri" w:hAnsi="Calibri"/>
          <w:sz w:val="19"/>
          <w:szCs w:val="19"/>
        </w:rPr>
        <w:t xml:space="preserve">Records held only in one system, never test-restored, are records the employer may not actually have. Control 13 tests it annually, which is cheap compared with reconstructing several years of salary history.</w:t>
      </w:r>
    </w:p>
    <w:p>
      <w:pPr>
        <w:keepNext/>
        <w:spacing w:after="40" w:before="140"/>
      </w:pPr>
      <w:r>
        <w:rPr>
          <w:rFonts w:ascii="Calibri" w:cs="Calibri" w:eastAsia="Calibri" w:hAnsi="Calibri"/>
          <w:b/>
          <w:bCs/>
          <w:color w:val="14161B"/>
          <w:sz w:val="20"/>
          <w:szCs w:val="20"/>
        </w:rPr>
        <w:t xml:space="preserve">Dispose securely</w:t>
      </w:r>
    </w:p>
    <w:p>
      <w:pPr>
        <w:spacing w:after="60" w:line="264"/>
        <w:jc w:val="both"/>
      </w:pPr>
      <w:r>
        <w:rPr>
          <w:rFonts w:ascii="Calibri" w:cs="Calibri" w:eastAsia="Calibri" w:hAnsi="Calibri"/>
          <w:sz w:val="19"/>
          <w:szCs w:val="19"/>
        </w:rPr>
        <w:t xml:space="preserve">Disposal at the end of the retention period should be secure and should follow the data — backups, archives and any copies held by a payroll provider, not merely the live system.</w:t>
      </w:r>
    </w:p>
    <w:p>
      <w:pPr>
        <w:keepNext/>
        <w:spacing w:after="40" w:before="140"/>
      </w:pPr>
      <w:r>
        <w:rPr>
          <w:rFonts w:ascii="Calibri" w:cs="Calibri" w:eastAsia="Calibri" w:hAnsi="Calibri"/>
          <w:b/>
          <w:bCs/>
          <w:color w:val="14161B"/>
          <w:sz w:val="20"/>
          <w:szCs w:val="20"/>
        </w:rPr>
        <w:t xml:space="preserve">Watch the Employment Act review</w:t>
      </w:r>
    </w:p>
    <w:p>
      <w:pPr>
        <w:spacing w:after="60" w:line="264"/>
        <w:jc w:val="both"/>
      </w:pPr>
      <w:r>
        <w:rPr>
          <w:rFonts w:ascii="Calibri" w:cs="Calibri" w:eastAsia="Calibri" w:hAnsi="Calibri"/>
          <w:sz w:val="19"/>
          <w:szCs w:val="19"/>
        </w:rPr>
        <w:t xml:space="preserve">A major review of the Employment Act is under way with proposals expected in the second half of 2026. Coverage thresholds and record-keeping requirements are both within its potential scope. Diarise a review of this register once the outcome is published.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Record-keeping requirements, retention periods, Part IV coverage thresholds and the prescribed particulars all change — confirm the current position with the Ministry of Manpower, and set the retention periods in Section 2 with advice rather than leaving the placeholders unfilled.</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2026-08-22T06:55:29.751Z</dcterms:created>
  <dcterms:modified xsi:type="dcterms:W3CDTF">2026-08-22T06:55:29.751Z</dcterms:modified>
</cp:coreProperties>
</file>

<file path=docProps/custom.xml><?xml version="1.0" encoding="utf-8"?>
<Properties xmlns="http://schemas.openxmlformats.org/officeDocument/2006/custom-properties" xmlns:vt="http://schemas.openxmlformats.org/officeDocument/2006/docPropsVTypes"/>
</file>