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CONTRACT OF EMPLOYMENT</w:t>
      </w:r>
    </w:p>
    <w:p>
      <w:pPr>
        <w:spacing w:after="260"/>
        <w:jc w:val="center"/>
      </w:pPr>
      <w:r>
        <w:rPr>
          <w:rFonts w:ascii="Calibri" w:cs="Calibri" w:eastAsia="Calibri" w:hAnsi="Calibri"/>
          <w:i/>
          <w:iCs/>
          <w:color w:val="6E7480"/>
          <w:sz w:val="19"/>
          <w:szCs w:val="19"/>
        </w:rPr>
        <w:t xml:space="preserve">Between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[EMPLOYEE NAME]</w:t>
      </w:r>
    </w:p>
    <w:p>
      <w:pPr>
        <w:spacing w:after="180" w:before="0" w:line="276"/>
        <w:jc w:val="both"/>
      </w:pPr>
      <w:r>
        <w:rPr>
          <w:rFonts w:ascii="Calibri" w:cs="Calibri" w:eastAsia="Calibri" w:hAnsi="Calibri"/>
          <w:i/>
          <w:iCs/>
          <w:color w:val="6E7480"/>
          <w:sz w:val="21"/>
          <w:szCs w:val="21"/>
        </w:rPr>
        <w:t xml:space="preserve">The contract carries the commercial and protective terms; the key employment terms carry the statutory particulars. Issue both. Where this contract contains all the prescribed particulars, it can serve as the key employment terms as well — but say so expressly and still issue it within fourteen days of the employee starting work.</w:t>
      </w:r>
    </w:p>
    <w:p>
      <w:pPr>
        <w:spacing w:after="140" w:before="0" w:line="276"/>
        <w:jc w:val="both"/>
      </w:pPr>
      <w:r>
        <w:rPr>
          <w:rFonts w:ascii="Calibri" w:cs="Calibri" w:eastAsia="Calibri" w:hAnsi="Calibri"/>
          <w:b/>
          <w:bCs/>
          <w:sz w:val="21"/>
          <w:szCs w:val="21"/>
        </w:rPr>
        <w:t xml:space="preserve">THIS CONTRACT</w:t>
      </w:r>
      <w:r>
        <w:rPr>
          <w:rFonts w:ascii="Calibri" w:cs="Calibri" w:eastAsia="Calibri" w:hAnsi="Calibri"/>
          <w:sz w:val="21"/>
          <w:szCs w:val="21"/>
        </w:rPr>
        <w:t xml:space="preserve"> is made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in Singapore with UEN </w:t>
      </w:r>
      <w:r>
        <w:rPr>
          <w:rFonts w:ascii="Calibri" w:cs="Calibri" w:eastAsia="Calibri" w:hAnsi="Calibri"/>
          <w:b/>
          <w:bCs/>
          <w:sz w:val="21"/>
          <w:szCs w:val="21"/>
        </w:rPr>
        <w:t xml:space="preserve">[UEN]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[EMPLOYEE NAME]</w:t>
      </w:r>
      <w:r>
        <w:rPr>
          <w:rFonts w:ascii="Calibri" w:cs="Calibri" w:eastAsia="Calibri" w:hAnsi="Calibri"/>
          <w:sz w:val="21"/>
          <w:szCs w:val="21"/>
        </w:rPr>
        <w:t xml:space="preserve">, holding </w:t>
      </w:r>
      <w:r>
        <w:rPr>
          <w:rFonts w:ascii="Calibri" w:cs="Calibri" w:eastAsia="Calibri" w:hAnsi="Calibri"/>
          <w:b/>
          <w:bCs/>
          <w:sz w:val="21"/>
          <w:szCs w:val="21"/>
        </w:rPr>
        <w:t xml:space="preserve">[NRIC / FIN]</w:t>
      </w:r>
      <w:r>
        <w:rPr>
          <w:rFonts w:ascii="Calibri" w:cs="Calibri" w:eastAsia="Calibri" w:hAnsi="Calibri"/>
          <w:sz w:val="21"/>
          <w:szCs w:val="21"/>
        </w:rPr>
        <w:t xml:space="preserve"> number </w:t>
      </w:r>
      <w:r>
        <w:rPr>
          <w:rFonts w:ascii="Calibri" w:cs="Calibri" w:eastAsia="Calibri" w:hAnsi="Calibri"/>
          <w:b/>
          <w:bCs/>
          <w:sz w:val="21"/>
          <w:szCs w:val="21"/>
        </w:rPr>
        <w:t xml:space="preserve">[NUMBER]</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Employee</w:t>
      </w:r>
      <w:r>
        <w:rPr>
          <w:rFonts w:ascii="Calibri" w:cs="Calibri" w:eastAsia="Calibri" w:hAnsi="Calibri"/>
          <w:sz w:val="21"/>
          <w:szCs w:val="21"/>
        </w:rPr>
        <w:t xml:space="preserve">").</w:t>
      </w:r>
    </w:p>
    <w:p>
      <w:pPr>
        <w:spacing w:after="140" w:before="120" w:line="276"/>
        <w:jc w:val="both"/>
      </w:pPr>
      <w:r>
        <w:rPr>
          <w:rFonts w:ascii="Calibri" w:cs="Calibri" w:eastAsia="Calibri" w:hAnsi="Calibri"/>
          <w:b/>
          <w:bCs/>
          <w:sz w:val="21"/>
          <w:szCs w:val="21"/>
        </w:rPr>
        <w:t xml:space="preserve">IT IS AGREED</w:t>
      </w:r>
      <w:r>
        <w:rPr>
          <w:rFonts w:ascii="Calibri" w:cs="Calibri" w:eastAsia="Calibri" w:hAnsi="Calibri"/>
          <w:sz w:val="21"/>
          <w:szCs w:val="21"/>
        </w:rPr>
        <w:t xml:space="preserve"> as follows:</w:t>
      </w:r>
    </w:p>
    <w:p>
      <w:pPr>
        <w:keepNext/>
        <w:spacing w:after="120" w:before="280"/>
        <w:outlineLvl w:val="0"/>
      </w:pPr>
      <w:r>
        <w:rPr>
          <w:rFonts w:ascii="Calibri" w:cs="Calibri" w:eastAsia="Calibri" w:hAnsi="Calibri"/>
          <w:b/>
          <w:bCs/>
          <w:color w:val="14161B"/>
          <w:sz w:val="22"/>
          <w:szCs w:val="22"/>
        </w:rPr>
        <w:t xml:space="preserve">1. APPOINTMENT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[JOB TITLE]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Commencement date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employment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[Permanent / Fixed term from ______ to ______]</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 hybrid — describe / remote — describe]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Working days and hours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days, </w:t>
            </w:r>
            <w:r>
              <w:rPr>
                <w:rFonts w:ascii="Calibri" w:cs="Calibri" w:eastAsia="Calibri" w:hAnsi="Calibri"/>
                <w:b/>
                <w:bCs/>
                <w:sz w:val="19"/>
                <w:szCs w:val="19"/>
              </w:rPr>
              <w:t xml:space="preserve">[HOURS]</w:t>
            </w:r>
            <w:r>
              <w:rPr>
                <w:rFonts w:ascii="Calibri" w:cs="Calibri" w:eastAsia="Calibri" w:hAnsi="Calibri"/>
                <w:sz w:val="19"/>
                <w:szCs w:val="19"/>
              </w:rPr>
              <w:t xml:space="preserve"> hours, </w:t>
            </w:r>
            <w:r>
              <w:rPr>
                <w:rFonts w:ascii="Calibri" w:cs="Calibri" w:eastAsia="Calibri" w:hAnsi="Calibri"/>
                <w:b/>
                <w:bCs/>
                <w:sz w:val="19"/>
                <w:szCs w:val="19"/>
              </w:rPr>
              <w:t xml:space="preserve">[TIME]</w:t>
            </w:r>
            <w:r>
              <w:rPr>
                <w:rFonts w:ascii="Calibri" w:cs="Calibri" w:eastAsia="Calibri" w:hAnsi="Calibri"/>
                <w:sz w:val="19"/>
                <w:szCs w:val="19"/>
              </w:rPr>
              <w:t xml:space="preserve"> to </w:t>
            </w:r>
            <w:r>
              <w:rPr>
                <w:rFonts w:ascii="Calibri" w:cs="Calibri" w:eastAsia="Calibri" w:hAnsi="Calibri"/>
                <w:b/>
                <w:bCs/>
                <w:sz w:val="19"/>
                <w:szCs w:val="19"/>
              </w:rPr>
              <w:t xml:space="preserve">[TIME]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Rest day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Probation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months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 — during probation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 — after confirmation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[PERIOD]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Act Part IV coverage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[Covered / Not covered — see the notes]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pass required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 applicable / Employment Pass / S Pass / Work Permit]</w:t>
            </w:r>
          </w:p>
        </w:tc>
      </w:tr>
    </w:tbl>
    <w:p>
      <w:pPr>
        <w:spacing w:after="16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appoints the Employee and the Employee accepts appointment on the terms of this contract.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[Where a work pass is required]</w:t>
      </w:r>
      <w:r>
        <w:rPr>
          <w:rFonts w:ascii="Calibri" w:cs="Calibri" w:eastAsia="Calibri" w:hAnsi="Calibri"/>
          <w:sz w:val="21"/>
          <w:szCs w:val="21"/>
        </w:rPr>
        <w:t xml:space="preserve"> This contract is conditional on the Employee holding a valid work pass permitting employment with the Company in the stated role. If the pass is not granted, is revoked, expires, or the application is withdrawn or rejected, this contract terminates automatically on that date without notice or payment in lieu, and the Employee will have no claim against the Company other than for sums already accrued.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This contract is further conditional on satisfactory verification of the Employee’s identity, qualifications and previous employment, and on the Employee confirming that no subsisting obligation to a former employer prevents or restricts the performance of the Employee’s duties.</w:t>
      </w:r>
    </w:p>
    <w:p>
      <w:pPr>
        <w:keepNext/>
        <w:spacing w:after="120" w:before="280"/>
        <w:outlineLvl w:val="0"/>
      </w:pPr>
      <w:r>
        <w:rPr>
          <w:rFonts w:ascii="Calibri" w:cs="Calibri" w:eastAsia="Calibri" w:hAnsi="Calibri"/>
          <w:b/>
          <w:bCs/>
          <w:color w:val="14161B"/>
          <w:sz w:val="22"/>
          <w:szCs w:val="22"/>
        </w:rPr>
        <w:t xml:space="preserve">2. DUTIES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Employee shall perform the duties of the role and such other duties consistent with the position as the Company may reasonably assign, faithfully and diligently, and shall comply with all lawful and reasonable instructions.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Employee shall devote the whole of the Employee’s working time to the business of the Company and shall not, during employment, engage in any other employment, business, consultancy or directorship, whether or not for reward, without the Company’s prior written consent. </w:t>
      </w:r>
      <w:r>
        <w:rPr>
          <w:rFonts w:ascii="Calibri" w:cs="Calibri" w:eastAsia="Calibri" w:hAnsi="Calibri"/>
          <w:i/>
          <w:iCs/>
          <w:sz w:val="21"/>
          <w:szCs w:val="21"/>
        </w:rPr>
        <w:t xml:space="preserve">Consent should not be withheld unreasonably where the outside activity presents no conflict and does not affect performance.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The Employee shall disclose promptly and in writing any actual or potential conflict of interest, any interest in a transaction of the Company, and any offer of employment received from a competitor.</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The Employee shall comply with the Company’s policies as amended from time to time, including the employee handbook, code of conduct, anti-harassment policy, workplace fairness and grievance procedure, information security policy and personal data protection policy.</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Company may require the Employee to work at, or transfer to, another place of business of the Company or of a related corporation, on reasonable notice and meeting reasonable relocation costs.</w:t>
      </w:r>
    </w:p>
    <w:p>
      <w:pPr>
        <w:keepNext/>
        <w:spacing w:after="120" w:before="280"/>
        <w:outlineLvl w:val="0"/>
      </w:pPr>
      <w:r>
        <w:rPr>
          <w:rFonts w:ascii="Calibri" w:cs="Calibri" w:eastAsia="Calibri" w:hAnsi="Calibri"/>
          <w:b/>
          <w:bCs/>
          <w:color w:val="14161B"/>
          <w:sz w:val="22"/>
          <w:szCs w:val="22"/>
        </w:rPr>
        <w:t xml:space="preserve">3. REMUNERATION</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Company shall pay the Employee a basic salary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per month, paid within seven days after the end of each salary period by credit to the Employee’s bank account, together with an itemised payslip.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2120"/>
        <w:gridCol w:w="424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212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per month (S$)</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base for Central Provident Fund, overtime and statutory computations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Itemise each; a single "allowances" line does not satisfy the payslip requirement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 allowance — name it]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monthly salary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bonus at full achievement</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r>
              <w:rPr>
                <w:rFonts w:ascii="Calibri" w:cs="Calibri" w:eastAsia="Calibri" w:hAnsi="Calibri"/>
                <w:sz w:val="18"/>
                <w:szCs w:val="18"/>
              </w:rPr>
              <w:t xml:space="preserve"> per annum</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the terms in Clause 3.4</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Wage Supplement, if any]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Contractual, not statutory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Central Provident Fund contribution</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Citizens and permanent residents only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 cost to company</w:t>
            </w:r>
          </w:p>
        </w:tc>
        <w:tc>
          <w:tcPr>
            <w:tcW w:type="dxa" w:w="212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4242"/>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Salary will be reviewed annually. A review does not oblige the Company to increase it.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[Where the Employee is covered by Part IV]</w:t>
      </w:r>
      <w:r>
        <w:rPr>
          <w:rFonts w:ascii="Calibri" w:cs="Calibri" w:eastAsia="Calibri" w:hAnsi="Calibri"/>
          <w:sz w:val="21"/>
          <w:szCs w:val="21"/>
        </w:rPr>
        <w:t xml:space="preserve"> Overtime worked with prior authorisation will be paid at </w:t>
      </w:r>
      <w:r>
        <w:rPr>
          <w:rFonts w:ascii="Calibri" w:cs="Calibri" w:eastAsia="Calibri" w:hAnsi="Calibri"/>
          <w:b/>
          <w:bCs/>
          <w:sz w:val="21"/>
          <w:szCs w:val="21"/>
        </w:rPr>
        <w:t xml:space="preserve">1.5 times</w:t>
      </w:r>
      <w:r>
        <w:rPr>
          <w:rFonts w:ascii="Calibri" w:cs="Calibri" w:eastAsia="Calibri" w:hAnsi="Calibri"/>
          <w:sz w:val="21"/>
          <w:szCs w:val="21"/>
        </w:rPr>
        <w:t xml:space="preserve"> the hourly basic rate and paid within fourteen days after the end of the salary period.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b/>
          <w:bCs/>
          <w:sz w:val="21"/>
          <w:szCs w:val="21"/>
        </w:rPr>
        <w:t xml:space="preserve">Variable bonus.</w:t>
      </w:r>
      <w:r>
        <w:rPr>
          <w:rFonts w:ascii="Calibri" w:cs="Calibri" w:eastAsia="Calibri" w:hAnsi="Calibri"/>
          <w:sz w:val="21"/>
          <w:szCs w:val="21"/>
        </w:rPr>
        <w:t xml:space="preserve"> The Employee may be eligible for a discretionary bonus of up to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annual basic salary, assessed against objectives agreed at the start of each performance year and determined by the Company acting reasonably. Bonus for a part year will be pro-rated. The Employee must be in employment and not under notice on the payment date to be eligible, save where employment ends by reason of death, permanent incapacity or termination by the Company otherwise than for cause. </w:t>
      </w:r>
      <w:r>
        <w:rPr>
          <w:rFonts w:ascii="Calibri" w:cs="Calibri" w:eastAsia="Calibri" w:hAnsi="Calibri"/>
          <w:i/>
          <w:iCs/>
          <w:sz w:val="21"/>
          <w:szCs w:val="21"/>
        </w:rPr>
        <w:t xml:space="preserve">(Whether a bonus is discretionary or contractual is a commercial decision — specify, and note that a bonus described as discretionary but paid unfailingly for years may be argued to have become contractual.)</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Company shall reimburse expenses properly incurred in the performance of the Employee’s duties, on production of receipts and in accordance with the Company’s expense policy.</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Deductions will be limited to those authorised by law, and the total deducted in any salary period will not exceed the statutory limit, excluding deductions for absence, income tax and Central Provident Fund contributions.</w:t>
      </w:r>
    </w:p>
    <w:p>
      <w:pPr>
        <w:keepNext/>
        <w:spacing w:after="120" w:before="280"/>
        <w:outlineLvl w:val="0"/>
      </w:pPr>
      <w:r>
        <w:rPr>
          <w:rFonts w:ascii="Calibri" w:cs="Calibri" w:eastAsia="Calibri" w:hAnsi="Calibri"/>
          <w:b/>
          <w:bCs/>
          <w:color w:val="14161B"/>
          <w:sz w:val="22"/>
          <w:szCs w:val="22"/>
        </w:rPr>
        <w:t xml:space="preserve">4. CENTRAL PROVIDENT FUND AND STATUTORY CONTRIBUTIONS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Where the Employee is a Singapore citizen or permanent resident, the Company shall make employer contributions and deduct employee contributions to the Central Provident Fund at the applicable rates, on Ordinary Wages up to the prescribed monthly ceiling and Additional Wages up to the prescribed annual ceiling, and shall pay them by the fourteenth day of the following month.</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the Employee holds a work pass, Central Provident Fund contributions are not payable and the Company shall pay the applicable foreign worker levy.</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shall pay the Skills Development Levy as required by law.</w:t>
      </w:r>
    </w:p>
    <w:p>
      <w:pPr>
        <w:keepNext/>
        <w:spacing w:after="120" w:before="280"/>
        <w:outlineLvl w:val="0"/>
      </w:pPr>
      <w:r>
        <w:rPr>
          <w:rFonts w:ascii="Calibri" w:cs="Calibri" w:eastAsia="Calibri" w:hAnsi="Calibri"/>
          <w:b/>
          <w:bCs/>
          <w:color w:val="14161B"/>
          <w:sz w:val="22"/>
          <w:szCs w:val="22"/>
        </w:rPr>
        <w:t xml:space="preserve">5. LEAVE AND BENEFITS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Employee is entitled to </w:t>
      </w:r>
      <w:r>
        <w:rPr>
          <w:rFonts w:ascii="Calibri" w:cs="Calibri" w:eastAsia="Calibri" w:hAnsi="Calibri"/>
          <w:b/>
          <w:bCs/>
          <w:sz w:val="21"/>
          <w:szCs w:val="21"/>
        </w:rPr>
        <w:t xml:space="preserve">[NUMBER]</w:t>
      </w:r>
      <w:r>
        <w:rPr>
          <w:rFonts w:ascii="Calibri" w:cs="Calibri" w:eastAsia="Calibri" w:hAnsi="Calibri"/>
          <w:sz w:val="21"/>
          <w:szCs w:val="21"/>
        </w:rPr>
        <w:t xml:space="preserve"> days of paid annual leave per year, and to sick leave, hospitalisation leave, and family-related leave in accordance with the Employment Act and the Child Development Co-Savings Act as applicable.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Employee is entitled to the </w:t>
      </w:r>
      <w:r>
        <w:rPr>
          <w:rFonts w:ascii="Calibri" w:cs="Calibri" w:eastAsia="Calibri" w:hAnsi="Calibri"/>
          <w:b/>
          <w:bCs/>
          <w:sz w:val="21"/>
          <w:szCs w:val="21"/>
        </w:rPr>
        <w:t xml:space="preserve">11</w:t>
      </w:r>
      <w:r>
        <w:rPr>
          <w:rFonts w:ascii="Calibri" w:cs="Calibri" w:eastAsia="Calibri" w:hAnsi="Calibri"/>
          <w:sz w:val="21"/>
          <w:szCs w:val="21"/>
        </w:rPr>
        <w:t xml:space="preserve"> gazetted public holidays.</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Employee may request a flexible work arrangement, and the Company will consider and respond to the request in accordance with the Tripartite Guidelines on Flexible Work Arrangement Requests.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[Describe medical, dental, insurance and any other benefit, and whether cover extends to dependants.]</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The Company maintains insurance under the Work Injury Compensation Act in respect of employees to whom that Act applies.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CONFIDENTIALITY AND INTELLECTUAL PROPERTY</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Employee shall keep confidential all Confidential Information of the Company and its related corporations, shall use it only for the purposes of the employment, and shall not disclose it to any person except as required for the Employee’s duties or by law. This obligation continues after employment ends, without limit of time.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w:t>
      </w:r>
      <w:r>
        <w:rPr>
          <w:rFonts w:ascii="Calibri" w:cs="Calibri" w:eastAsia="Calibri" w:hAnsi="Calibri"/>
          <w:b/>
          <w:bCs/>
          <w:sz w:val="21"/>
          <w:szCs w:val="21"/>
        </w:rPr>
        <w:t xml:space="preserve">Confidential Information</w:t>
      </w:r>
      <w:r>
        <w:rPr>
          <w:rFonts w:ascii="Calibri" w:cs="Calibri" w:eastAsia="Calibri" w:hAnsi="Calibri"/>
          <w:sz w:val="21"/>
          <w:szCs w:val="21"/>
        </w:rPr>
        <w:t xml:space="preserve">" means information relating to the business, finances, technology, products, customers, suppliers, employees, pricing, source code, plans and know-how of the Company and its related corporations, in any form, other than information in the public domain otherwise than through breach of this contract.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All intellectual property created by the Employee, alone or with others, in the course of the employment or in connection with the business of the Company, vests in the Company. The Employee assigns to the Company all such rights, present and future, waives all moral rights in them to the extent permitted by law, and shall execute such further documents as the Company requires to perfect and register its title.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Employee shall not use, in the course of the employment, any confidential information or material belonging to a former employer or third party.</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On termination, or earlier on request, the Employee shall return all property, records, documents, devices, credentials and information of the Company, in any medium, and shall delete any copies held on personal devices, personal cloud storage or personal email.</w:t>
      </w:r>
    </w:p>
    <w:p>
      <w:pPr>
        <w:keepNext/>
        <w:spacing w:after="120" w:before="280"/>
        <w:outlineLvl w:val="0"/>
      </w:pPr>
      <w:r>
        <w:rPr>
          <w:rFonts w:ascii="Calibri" w:cs="Calibri" w:eastAsia="Calibri" w:hAnsi="Calibri"/>
          <w:b/>
          <w:bCs/>
          <w:color w:val="14161B"/>
          <w:sz w:val="22"/>
          <w:szCs w:val="22"/>
        </w:rPr>
        <w:t xml:space="preserve">7. RESTRICTIVE COVENANTS</w:t>
      </w:r>
    </w:p>
    <w:p>
      <w:pPr>
        <w:spacing w:after="120" w:before="0" w:line="276"/>
        <w:jc w:val="both"/>
      </w:pPr>
      <w:r>
        <w:rPr>
          <w:rFonts w:ascii="Calibri" w:cs="Calibri" w:eastAsia="Calibri" w:hAnsi="Calibri"/>
          <w:i/>
          <w:iCs/>
          <w:sz w:val="21"/>
          <w:szCs w:val="21"/>
        </w:rPr>
        <w:t xml:space="preserve">These covenants are enforceable in Singapore only so far as they are reasonable. Complete the blanks deliberately and narrowly — an over-broad covenant is struck down entirely, not read down. See the notes.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In this Clause, "</w:t>
      </w:r>
      <w:r>
        <w:rPr>
          <w:rFonts w:ascii="Calibri" w:cs="Calibri" w:eastAsia="Calibri" w:hAnsi="Calibri"/>
          <w:b/>
          <w:bCs/>
          <w:sz w:val="21"/>
          <w:szCs w:val="21"/>
        </w:rPr>
        <w:t xml:space="preserve">Restricted Period</w:t>
      </w:r>
      <w:r>
        <w:rPr>
          <w:rFonts w:ascii="Calibri" w:cs="Calibri" w:eastAsia="Calibri" w:hAnsi="Calibri"/>
          <w:sz w:val="21"/>
          <w:szCs w:val="21"/>
        </w:rPr>
        <w:t xml:space="preserve">" means </w:t>
      </w:r>
      <w:r>
        <w:rPr>
          <w:rFonts w:ascii="Calibri" w:cs="Calibri" w:eastAsia="Calibri" w:hAnsi="Calibri"/>
          <w:b/>
          <w:bCs/>
          <w:sz w:val="21"/>
          <w:szCs w:val="21"/>
        </w:rPr>
        <w:t xml:space="preserve">[NUMBER]</w:t>
      </w:r>
      <w:r>
        <w:rPr>
          <w:rFonts w:ascii="Calibri" w:cs="Calibri" w:eastAsia="Calibri" w:hAnsi="Calibri"/>
          <w:sz w:val="21"/>
          <w:szCs w:val="21"/>
        </w:rPr>
        <w:t xml:space="preserve"> months from the termination of employment, and "</w:t>
      </w:r>
      <w:r>
        <w:rPr>
          <w:rFonts w:ascii="Calibri" w:cs="Calibri" w:eastAsia="Calibri" w:hAnsi="Calibri"/>
          <w:b/>
          <w:bCs/>
          <w:sz w:val="21"/>
          <w:szCs w:val="21"/>
        </w:rPr>
        <w:t xml:space="preserve">Restricted Business</w:t>
      </w:r>
      <w:r>
        <w:rPr>
          <w:rFonts w:ascii="Calibri" w:cs="Calibri" w:eastAsia="Calibri" w:hAnsi="Calibri"/>
          <w:sz w:val="21"/>
          <w:szCs w:val="21"/>
        </w:rPr>
        <w:t xml:space="preserve">" means </w:t>
      </w:r>
      <w:r>
        <w:rPr>
          <w:rFonts w:ascii="Calibri" w:cs="Calibri" w:eastAsia="Calibri" w:hAnsi="Calibri"/>
          <w:b/>
          <w:bCs/>
          <w:sz w:val="21"/>
          <w:szCs w:val="21"/>
        </w:rPr>
        <w:t xml:space="preserve">[DESCRIBE THE SPECIFIC BUSINESS ACTIVITY, NOT THE WHOLE INDUSTRY]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Non-solicitation of customers.</w:t>
      </w:r>
      <w:r>
        <w:rPr>
          <w:rFonts w:ascii="Calibri" w:cs="Calibri" w:eastAsia="Calibri" w:hAnsi="Calibri"/>
          <w:sz w:val="21"/>
          <w:szCs w:val="21"/>
        </w:rPr>
        <w:t xml:space="preserve"> During the Restricted Period the Employee shall not, directly or indirectly, solicit or seek to entice away from the Company any person who was a customer or client of the Company with whom the Employee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termination.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Non-dealing.</w:t>
      </w:r>
      <w:r>
        <w:rPr>
          <w:rFonts w:ascii="Calibri" w:cs="Calibri" w:eastAsia="Calibri" w:hAnsi="Calibri"/>
          <w:sz w:val="21"/>
          <w:szCs w:val="21"/>
        </w:rPr>
        <w:t xml:space="preserve"> During the Restricted Period the Employee shall not, directly or indirectly, deal with or provide services in the Restricted Business to any person described in Clause 7.2.</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Non-solicitation of employees.</w:t>
      </w:r>
      <w:r>
        <w:rPr>
          <w:rFonts w:ascii="Calibri" w:cs="Calibri" w:eastAsia="Calibri" w:hAnsi="Calibri"/>
          <w:sz w:val="21"/>
          <w:szCs w:val="21"/>
        </w:rPr>
        <w:t xml:space="preserve"> During the Restricted Period the Employee shall not solicit or seek to entice away any person who was an employee or consultant of the Company in a </w:t>
      </w:r>
      <w:r>
        <w:rPr>
          <w:rFonts w:ascii="Calibri" w:cs="Calibri" w:eastAsia="Calibri" w:hAnsi="Calibri"/>
          <w:b/>
          <w:bCs/>
          <w:sz w:val="21"/>
          <w:szCs w:val="21"/>
        </w:rPr>
        <w:t xml:space="preserve">[senior or skilled]</w:t>
      </w:r>
      <w:r>
        <w:rPr>
          <w:rFonts w:ascii="Calibri" w:cs="Calibri" w:eastAsia="Calibri" w:hAnsi="Calibri"/>
          <w:sz w:val="21"/>
          <w:szCs w:val="21"/>
        </w:rPr>
        <w:t xml:space="preserve"> role with whom the Employee worked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termination.</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b/>
          <w:bCs/>
          <w:sz w:val="21"/>
          <w:szCs w:val="21"/>
        </w:rPr>
        <w:t xml:space="preserve">Non-competition.</w:t>
      </w:r>
      <w:r>
        <w:rPr>
          <w:rFonts w:ascii="Calibri" w:cs="Calibri" w:eastAsia="Calibri" w:hAnsi="Calibri"/>
          <w:sz w:val="21"/>
          <w:szCs w:val="21"/>
        </w:rPr>
        <w:t xml:space="preserve"> During the Restricted Period the Employee shall not, within </w:t>
      </w:r>
      <w:r>
        <w:rPr>
          <w:rFonts w:ascii="Calibri" w:cs="Calibri" w:eastAsia="Calibri" w:hAnsi="Calibri"/>
          <w:b/>
          <w:bCs/>
          <w:sz w:val="21"/>
          <w:szCs w:val="21"/>
        </w:rPr>
        <w:t xml:space="preserve">[DEFINE THE GEOGRAPHIC AREA — e.g. Singapore]</w:t>
      </w:r>
      <w:r>
        <w:rPr>
          <w:rFonts w:ascii="Calibri" w:cs="Calibri" w:eastAsia="Calibri" w:hAnsi="Calibri"/>
          <w:sz w:val="21"/>
          <w:szCs w:val="21"/>
        </w:rPr>
        <w:t xml:space="preserve">, be engaged or concerned in the Restricted Business in a capacity the same as or similar to that in which the Employee was engaged by the Company. </w:t>
      </w:r>
      <w:r>
        <w:rPr>
          <w:rFonts w:ascii="Calibri" w:cs="Calibri" w:eastAsia="Calibri" w:hAnsi="Calibri"/>
          <w:i/>
          <w:iCs/>
          <w:sz w:val="21"/>
          <w:szCs w:val="21"/>
        </w:rPr>
        <w:t xml:space="preserve">(This covenant should be included only where the Employee’s role genuinely warrants it — see the notes. Delete it for junior roles.)</w:t>
      </w:r>
    </w:p>
    <w:p>
      <w:pPr>
        <w:spacing w:after="120" w:before="60" w:line="276"/>
        <w:ind w:left="720" w:hanging="720"/>
        <w:jc w:val="both"/>
      </w:pPr>
      <w:r>
        <w:rPr>
          <w:rFonts w:ascii="Calibri" w:cs="Calibri" w:eastAsia="Calibri" w:hAnsi="Calibri"/>
          <w:sz w:val="21"/>
          <w:szCs w:val="21"/>
        </w:rPr>
        <w:t xml:space="preserve">7.6	</w:t>
      </w:r>
      <w:r>
        <w:rPr>
          <w:rFonts w:ascii="Calibri" w:cs="Calibri" w:eastAsia="Calibri" w:hAnsi="Calibri"/>
          <w:sz w:val="21"/>
          <w:szCs w:val="21"/>
        </w:rPr>
        <w:t xml:space="preserve">Each restriction in this Clause is separate and independent. If any is held unreasonable, the others continue to apply.</w:t>
      </w:r>
    </w:p>
    <w:p>
      <w:pPr>
        <w:spacing w:after="120" w:before="60" w:line="276"/>
        <w:ind w:left="720" w:hanging="720"/>
        <w:jc w:val="both"/>
      </w:pPr>
      <w:r>
        <w:rPr>
          <w:rFonts w:ascii="Calibri" w:cs="Calibri" w:eastAsia="Calibri" w:hAnsi="Calibri"/>
          <w:sz w:val="21"/>
          <w:szCs w:val="21"/>
        </w:rPr>
        <w:t xml:space="preserve">7.7	</w:t>
      </w:r>
      <w:r>
        <w:rPr>
          <w:rFonts w:ascii="Calibri" w:cs="Calibri" w:eastAsia="Calibri" w:hAnsi="Calibri"/>
          <w:sz w:val="21"/>
          <w:szCs w:val="21"/>
        </w:rPr>
        <w:t xml:space="preserve">The Company may release the Employee from any restriction, wholly or in part, by written notice.</w:t>
      </w:r>
    </w:p>
    <w:p>
      <w:pPr>
        <w:spacing w:after="120" w:before="60" w:line="276"/>
        <w:ind w:left="720" w:hanging="720"/>
        <w:jc w:val="both"/>
      </w:pPr>
      <w:r>
        <w:rPr>
          <w:rFonts w:ascii="Calibri" w:cs="Calibri" w:eastAsia="Calibri" w:hAnsi="Calibri"/>
          <w:sz w:val="21"/>
          <w:szCs w:val="21"/>
        </w:rPr>
        <w:t xml:space="preserve">7.8	</w:t>
      </w:r>
      <w:r>
        <w:rPr>
          <w:rFonts w:ascii="Calibri" w:cs="Calibri" w:eastAsia="Calibri" w:hAnsi="Calibri"/>
          <w:sz w:val="21"/>
          <w:szCs w:val="21"/>
        </w:rPr>
        <w:t xml:space="preserve">The Employee acknowledges that damages may not be an adequate remedy for breach of Clause 6 or Clause 7 and that the Company may seek injunctive relief.</w:t>
      </w:r>
    </w:p>
    <w:p>
      <w:pPr>
        <w:keepNext/>
        <w:spacing w:after="120" w:before="280"/>
        <w:outlineLvl w:val="0"/>
      </w:pPr>
      <w:r>
        <w:rPr>
          <w:rFonts w:ascii="Calibri" w:cs="Calibri" w:eastAsia="Calibri" w:hAnsi="Calibri"/>
          <w:b/>
          <w:bCs/>
          <w:color w:val="14161B"/>
          <w:sz w:val="22"/>
          <w:szCs w:val="22"/>
        </w:rPr>
        <w:t xml:space="preserve">8. TERMINATION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Either party may terminate this contract by giving the notice stated in Clause 1, or by paying salary in lieu of notice for the unexpired period.</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may terminate the employment without notice or payment in lieu where the Employee is guilty of misconduct, following a </w:t>
      </w:r>
      <w:r>
        <w:rPr>
          <w:rFonts w:ascii="Calibri" w:cs="Calibri" w:eastAsia="Calibri" w:hAnsi="Calibri"/>
          <w:b/>
          <w:bCs/>
          <w:sz w:val="21"/>
          <w:szCs w:val="21"/>
        </w:rPr>
        <w:t xml:space="preserve">due inquiry</w:t>
      </w:r>
      <w:r>
        <w:rPr>
          <w:rFonts w:ascii="Calibri" w:cs="Calibri" w:eastAsia="Calibri" w:hAnsi="Calibri"/>
          <w:sz w:val="21"/>
          <w:szCs w:val="21"/>
        </w:rPr>
        <w:t xml:space="preserve"> at which the Employee is informed of the allegation and given a genuine opportunity to respond.</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The Company may suspend the Employee from work pending a due inquiry for a period not exceeding one week, on payment of not less than half the Employee’s salary. Where the inquiry does not establish misconduct, the withheld amount will be restored in full.</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Garden leave.</w:t>
      </w:r>
      <w:r>
        <w:rPr>
          <w:rFonts w:ascii="Calibri" w:cs="Calibri" w:eastAsia="Calibri" w:hAnsi="Calibri"/>
          <w:sz w:val="21"/>
          <w:szCs w:val="21"/>
        </w:rPr>
        <w:t xml:space="preserve"> During any notice period the Company may require the Employee not to attend the workplace, to cease performing duties, and to have no contact with customers, suppliers or colleagues except as directed. The Employee remains employed and continues to receive salary and benefits.</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On termination, sums due will be paid on the last day of employment where the Company terminates; within three working days where the Employee resigns and serves notice; and within seven days where the Employee resigns without notice.</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The Employee shall resign from any office held in the Company or a related corporation on termination.</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b/>
          <w:bCs/>
          <w:sz w:val="21"/>
          <w:szCs w:val="21"/>
        </w:rPr>
        <w:t xml:space="preserve">[Where the Employee holds a work pass]</w:t>
      </w:r>
      <w:r>
        <w:rPr>
          <w:rFonts w:ascii="Calibri" w:cs="Calibri" w:eastAsia="Calibri" w:hAnsi="Calibri"/>
          <w:sz w:val="21"/>
          <w:szCs w:val="21"/>
        </w:rPr>
        <w:t xml:space="preserve"> The Company shall cancel the work pass on termination and shall comply with its obligations in respect of tax clearance and, where applicable, repatriation. The Employee shall co-operate with the tax clearance process, and the Company shall withhold sums due pending clearance as required by law.</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contract, the key employment terms and the Company’s policies constitute the entire terms of the employment and supersede any prior representation or agreement.</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No amendment is effective unless in writing and signed by both parties, save that the Company may amend its policies from time to time.</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The Company shall process the Employee’s personal data for employment purposes in accordance with the Personal Data Protection Act 2012 and the Company’s employee privacy notice.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If any provision is held invalid, it shall be severed and the remainder shall continue.</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sz w:val="21"/>
          <w:szCs w:val="21"/>
        </w:rPr>
        <w:t xml:space="preserve">A person who is not a party to this contract has no right under the Contracts (Rights of Third Parties) Act 2001 to enforce any of its terms, save that a related corporation may enforce Clauses 6 and 7.</w:t>
      </w:r>
    </w:p>
    <w:p>
      <w:pPr>
        <w:spacing w:after="120" w:before="60" w:line="276"/>
        <w:ind w:left="720" w:hanging="720"/>
        <w:jc w:val="both"/>
      </w:pPr>
      <w:r>
        <w:rPr>
          <w:rFonts w:ascii="Calibri" w:cs="Calibri" w:eastAsia="Calibri" w:hAnsi="Calibri"/>
          <w:sz w:val="21"/>
          <w:szCs w:val="21"/>
        </w:rPr>
        <w:t xml:space="preserve">9.6	</w:t>
      </w:r>
      <w:r>
        <w:rPr>
          <w:rFonts w:ascii="Calibri" w:cs="Calibri" w:eastAsia="Calibri" w:hAnsi="Calibri"/>
          <w:sz w:val="21"/>
          <w:szCs w:val="21"/>
        </w:rPr>
        <w:t xml:space="preserve">This contract is governed by the laws of Singapore and the parties submit to the jurisdiction of the Singapore courts, without prejudice to any remedy available under the Employment Act or before the Employment Claims Tribunal.</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NRIC / FIN: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Restrictive covenants are enforceable here — but only if reasonable</w:t>
      </w:r>
    </w:p>
    <w:p>
      <w:pPr>
        <w:spacing w:after="60" w:line="264"/>
        <w:jc w:val="both"/>
      </w:pPr>
      <w:r>
        <w:rPr>
          <w:rFonts w:ascii="Calibri" w:cs="Calibri" w:eastAsia="Calibri" w:hAnsi="Calibri"/>
          <w:sz w:val="19"/>
          <w:szCs w:val="19"/>
        </w:rPr>
        <w:t xml:space="preserve">Singapore follows the common law doctrine of restraint of trade. A post-employment covenant is prima facie void and becomes enforceable only where the employer shows it protects a legitimate proprietary interest and is reasonable between the parties and in the public interest. Recognised legitimate interests include trade secrets and confidential information, trade connection with customers, and maintaining a stable and trained workforce. The burden is on the employer.</w:t>
      </w:r>
    </w:p>
    <w:p>
      <w:pPr>
        <w:keepNext/>
        <w:spacing w:after="40" w:before="140"/>
      </w:pPr>
      <w:r>
        <w:rPr>
          <w:rFonts w:ascii="Calibri" w:cs="Calibri" w:eastAsia="Calibri" w:hAnsi="Calibri"/>
          <w:b/>
          <w:bCs/>
          <w:color w:val="14161B"/>
          <w:sz w:val="20"/>
          <w:szCs w:val="20"/>
        </w:rPr>
        <w:t xml:space="preserve">An over-broad covenant fails completely</w:t>
      </w:r>
    </w:p>
    <w:p>
      <w:pPr>
        <w:spacing w:after="60" w:line="264"/>
        <w:jc w:val="both"/>
      </w:pPr>
      <w:r>
        <w:rPr>
          <w:rFonts w:ascii="Calibri" w:cs="Calibri" w:eastAsia="Calibri" w:hAnsi="Calibri"/>
          <w:sz w:val="19"/>
          <w:szCs w:val="19"/>
        </w:rPr>
        <w:t xml:space="preserve">Singapore courts will not rewrite an unreasonable restraint to make it enforceable, and will generally refuse to enforce only the part an employer says it wants. A clause covering a whole industry, or a global area, or an indefinite period, is likely to fail in its entirety — taking with it the protection the employer actually needed. Draft narrowly: the specific activity the employee performed, the geography where the employer actually trades, and the shortest period that protects the interest.</w:t>
      </w:r>
    </w:p>
    <w:p>
      <w:pPr>
        <w:keepNext/>
        <w:spacing w:after="40" w:before="140"/>
      </w:pPr>
      <w:r>
        <w:rPr>
          <w:rFonts w:ascii="Calibri" w:cs="Calibri" w:eastAsia="Calibri" w:hAnsi="Calibri"/>
          <w:b/>
          <w:bCs/>
          <w:color w:val="14161B"/>
          <w:sz w:val="20"/>
          <w:szCs w:val="20"/>
        </w:rPr>
        <w:t xml:space="preserve">Match the covenant to the seniority of the role</w:t>
      </w:r>
    </w:p>
    <w:p>
      <w:pPr>
        <w:spacing w:after="60" w:line="264"/>
        <w:jc w:val="both"/>
      </w:pPr>
      <w:r>
        <w:rPr>
          <w:rFonts w:ascii="Calibri" w:cs="Calibri" w:eastAsia="Calibri" w:hAnsi="Calibri"/>
          <w:sz w:val="19"/>
          <w:szCs w:val="19"/>
        </w:rPr>
        <w:t xml:space="preserve">It is far harder to justify restraining a junior employee with no access to confidential information or customer relationships. Applying an identical covenant across the whole workforce is the pattern most likely to be struck down, and it weakens the position for the senior roles where the restraint genuinely matters. Clause 7.5 is drafted to be deleted for junior roles — delete it.</w:t>
      </w:r>
    </w:p>
    <w:p>
      <w:pPr>
        <w:keepNext/>
        <w:spacing w:after="40" w:before="140"/>
      </w:pPr>
      <w:r>
        <w:rPr>
          <w:rFonts w:ascii="Calibri" w:cs="Calibri" w:eastAsia="Calibri" w:hAnsi="Calibri"/>
          <w:b/>
          <w:bCs/>
          <w:color w:val="14161B"/>
          <w:sz w:val="20"/>
          <w:szCs w:val="20"/>
        </w:rPr>
        <w:t xml:space="preserve">Prefer non-solicitation and non-dealing over non-competition</w:t>
      </w:r>
    </w:p>
    <w:p>
      <w:pPr>
        <w:spacing w:after="60" w:line="264"/>
        <w:jc w:val="both"/>
      </w:pPr>
      <w:r>
        <w:rPr>
          <w:rFonts w:ascii="Calibri" w:cs="Calibri" w:eastAsia="Calibri" w:hAnsi="Calibri"/>
          <w:sz w:val="19"/>
          <w:szCs w:val="19"/>
        </w:rPr>
        <w:t xml:space="preserve">A non-solicitation or non-dealing covenant protects the customer connection directly and is much more likely to be upheld than a blanket non-compete. Where the concern is customer loss rather than the employee working at all, use Clauses 7.2 and 7.3 and omit 7.5.</w:t>
      </w:r>
    </w:p>
    <w:p>
      <w:pPr>
        <w:keepNext/>
        <w:spacing w:after="40" w:before="140"/>
      </w:pPr>
      <w:r>
        <w:rPr>
          <w:rFonts w:ascii="Calibri" w:cs="Calibri" w:eastAsia="Calibri" w:hAnsi="Calibri"/>
          <w:b/>
          <w:bCs/>
          <w:color w:val="14161B"/>
          <w:sz w:val="20"/>
          <w:szCs w:val="20"/>
        </w:rPr>
        <w:t xml:space="preserve">Tripartite guidelines are pending</w:t>
      </w:r>
    </w:p>
    <w:p>
      <w:pPr>
        <w:spacing w:after="60" w:line="264"/>
        <w:jc w:val="both"/>
      </w:pPr>
      <w:r>
        <w:rPr>
          <w:rFonts w:ascii="Calibri" w:cs="Calibri" w:eastAsia="Calibri" w:hAnsi="Calibri"/>
          <w:sz w:val="19"/>
          <w:szCs w:val="19"/>
        </w:rPr>
        <w:t xml:space="preserve">The Ministry of Manpower has been developing tripartite guidelines on restrictive covenants since early 2024, with attention to lower-wage workers and to restraints unconnected to a genuine business interest. As at the time of writing they have not been published. They will not be legally binding but are expected to be persuasive in court and may affect how the Ministry views an employer’s practices. Review covenants when they are issued.</w:t>
      </w:r>
    </w:p>
    <w:p>
      <w:pPr>
        <w:keepNext/>
        <w:spacing w:after="40" w:before="140"/>
      </w:pPr>
      <w:r>
        <w:rPr>
          <w:rFonts w:ascii="Calibri" w:cs="Calibri" w:eastAsia="Calibri" w:hAnsi="Calibri"/>
          <w:b/>
          <w:bCs/>
          <w:color w:val="14161B"/>
          <w:sz w:val="20"/>
          <w:szCs w:val="20"/>
        </w:rPr>
        <w:t xml:space="preserve">Garden leave is often the better tool</w:t>
      </w:r>
    </w:p>
    <w:p>
      <w:pPr>
        <w:spacing w:after="60" w:line="264"/>
        <w:jc w:val="both"/>
      </w:pPr>
      <w:r>
        <w:rPr>
          <w:rFonts w:ascii="Calibri" w:cs="Calibri" w:eastAsia="Calibri" w:hAnsi="Calibri"/>
          <w:sz w:val="19"/>
          <w:szCs w:val="19"/>
        </w:rPr>
        <w:t xml:space="preserve">Garden leave keeps the employee bound by duties of fidelity and away from customers while still paid, and is far less vulnerable than a post-employment restraint. Note that a long garden leave period may itself be taken into account in assessing whether a subsequent restraint is reasonable — the two are cumulative in effect and courts look at the total period the employee is kept out of the market.</w:t>
      </w:r>
    </w:p>
    <w:p>
      <w:pPr>
        <w:keepNext/>
        <w:spacing w:after="40" w:before="140"/>
      </w:pPr>
      <w:r>
        <w:rPr>
          <w:rFonts w:ascii="Calibri" w:cs="Calibri" w:eastAsia="Calibri" w:hAnsi="Calibri"/>
          <w:b/>
          <w:bCs/>
          <w:color w:val="14161B"/>
          <w:sz w:val="20"/>
          <w:szCs w:val="20"/>
        </w:rPr>
        <w:t xml:space="preserve">Make the work pass condition explicit</w:t>
      </w:r>
    </w:p>
    <w:p>
      <w:pPr>
        <w:spacing w:after="60" w:line="264"/>
        <w:jc w:val="both"/>
      </w:pPr>
      <w:r>
        <w:rPr>
          <w:rFonts w:ascii="Calibri" w:cs="Calibri" w:eastAsia="Calibri" w:hAnsi="Calibri"/>
          <w:sz w:val="19"/>
          <w:szCs w:val="19"/>
        </w:rPr>
        <w:t xml:space="preserve">Clause 1.2 causes the contract to terminate automatically if the pass is refused, revoked or expires. Without it, an employer whose pass application fails may be left with a binding contract it cannot lawfully perform. This clause matters more in Singapore than almost anywhere else given the proportion of the workforce on passes.</w:t>
      </w:r>
    </w:p>
    <w:p>
      <w:pPr>
        <w:keepNext/>
        <w:spacing w:after="40" w:before="140"/>
      </w:pPr>
      <w:r>
        <w:rPr>
          <w:rFonts w:ascii="Calibri" w:cs="Calibri" w:eastAsia="Calibri" w:hAnsi="Calibri"/>
          <w:b/>
          <w:bCs/>
          <w:color w:val="14161B"/>
          <w:sz w:val="20"/>
          <w:szCs w:val="20"/>
        </w:rPr>
        <w:t xml:space="preserve">Central Provident Fund is not payable for pass holders</w:t>
      </w:r>
    </w:p>
    <w:p>
      <w:pPr>
        <w:spacing w:after="60" w:line="264"/>
        <w:jc w:val="both"/>
      </w:pPr>
      <w:r>
        <w:rPr>
          <w:rFonts w:ascii="Calibri" w:cs="Calibri" w:eastAsia="Calibri" w:hAnsi="Calibri"/>
          <w:sz w:val="19"/>
          <w:szCs w:val="19"/>
        </w:rPr>
        <w:t xml:space="preserve">Contributions are payable only for Singapore citizens and permanent residents. Making contributions for a pass holder is an offence. Where an employee becomes a permanent resident during employment, contributions begin from the date of status change, initially at graduated rates — update the payroll record on the day, not at year end.</w:t>
      </w:r>
    </w:p>
    <w:p>
      <w:pPr>
        <w:keepNext/>
        <w:spacing w:after="40" w:before="140"/>
      </w:pPr>
      <w:r>
        <w:rPr>
          <w:rFonts w:ascii="Calibri" w:cs="Calibri" w:eastAsia="Calibri" w:hAnsi="Calibri"/>
          <w:b/>
          <w:bCs/>
          <w:color w:val="14161B"/>
          <w:sz w:val="20"/>
          <w:szCs w:val="20"/>
        </w:rPr>
        <w:t xml:space="preserve">Part IV coverage governs hours and overtime</w:t>
      </w:r>
    </w:p>
    <w:p>
      <w:pPr>
        <w:spacing w:after="60" w:line="264"/>
        <w:jc w:val="both"/>
      </w:pPr>
      <w:r>
        <w:rPr>
          <w:rFonts w:ascii="Calibri" w:cs="Calibri" w:eastAsia="Calibri" w:hAnsi="Calibri"/>
          <w:sz w:val="19"/>
          <w:szCs w:val="19"/>
        </w:rPr>
        <w:t xml:space="preserve">Part IV of the Employment Act, which covers hours of work, rest days and overtime, applies to workmen and to other employees earning not more than the prescribed monthly basic salary, and does not apply to managers or executives. Overtime for covered employees is 1.5 times the hourly basic rate. Record coverage per role at the point of hire.</w:t>
      </w:r>
    </w:p>
    <w:p>
      <w:pPr>
        <w:keepNext/>
        <w:spacing w:after="40" w:before="140"/>
      </w:pPr>
      <w:r>
        <w:rPr>
          <w:rFonts w:ascii="Calibri" w:cs="Calibri" w:eastAsia="Calibri" w:hAnsi="Calibri"/>
          <w:b/>
          <w:bCs/>
          <w:color w:val="14161B"/>
          <w:sz w:val="20"/>
          <w:szCs w:val="20"/>
        </w:rPr>
        <w:t xml:space="preserve">Due inquiry, and the limits on suspension</w:t>
      </w:r>
    </w:p>
    <w:p>
      <w:pPr>
        <w:spacing w:after="60" w:line="264"/>
        <w:jc w:val="both"/>
      </w:pPr>
      <w:r>
        <w:rPr>
          <w:rFonts w:ascii="Calibri" w:cs="Calibri" w:eastAsia="Calibri" w:hAnsi="Calibri"/>
          <w:sz w:val="19"/>
          <w:szCs w:val="19"/>
        </w:rPr>
        <w:t xml:space="preserve">Dismissal for misconduct requires a due inquiry: the allegation put to the employee, a genuine chance to respond, and a decision-maker who is not the complainant. Suspension pending inquiry is limited to one week on not less than half salary, restored in full if misconduct is not established. Both limits are frequently exceeded and both are straightforward to comply with.</w:t>
      </w:r>
    </w:p>
    <w:p>
      <w:pPr>
        <w:keepNext/>
        <w:spacing w:after="40" w:before="140"/>
      </w:pPr>
      <w:r>
        <w:rPr>
          <w:rFonts w:ascii="Calibri" w:cs="Calibri" w:eastAsia="Calibri" w:hAnsi="Calibri"/>
          <w:b/>
          <w:bCs/>
          <w:color w:val="14161B"/>
          <w:sz w:val="20"/>
          <w:szCs w:val="20"/>
        </w:rPr>
        <w:t xml:space="preserve">Discretionary bonuses can become contractual</w:t>
      </w:r>
    </w:p>
    <w:p>
      <w:pPr>
        <w:spacing w:after="60" w:line="264"/>
        <w:jc w:val="both"/>
      </w:pPr>
      <w:r>
        <w:rPr>
          <w:rFonts w:ascii="Calibri" w:cs="Calibri" w:eastAsia="Calibri" w:hAnsi="Calibri"/>
          <w:sz w:val="19"/>
          <w:szCs w:val="19"/>
        </w:rPr>
        <w:t xml:space="preserve">A bonus described as discretionary but paid at a consistent level for several years may be argued to have become a term by custom. If the intention is genuine discretion, exercise it — vary the amount, document the assessment, and do not describe an effectively fixed payment as discretionary.</w:t>
      </w:r>
    </w:p>
    <w:p>
      <w:pPr>
        <w:keepNext/>
        <w:spacing w:after="40" w:before="140"/>
      </w:pPr>
      <w:r>
        <w:rPr>
          <w:rFonts w:ascii="Calibri" w:cs="Calibri" w:eastAsia="Calibri" w:hAnsi="Calibri"/>
          <w:b/>
          <w:bCs/>
          <w:color w:val="14161B"/>
          <w:sz w:val="20"/>
          <w:szCs w:val="20"/>
        </w:rPr>
        <w:t xml:space="preserve">Termination payment timing has three different deadlines</w:t>
      </w:r>
    </w:p>
    <w:p>
      <w:pPr>
        <w:spacing w:after="60" w:line="264"/>
        <w:jc w:val="both"/>
      </w:pPr>
      <w:r>
        <w:rPr>
          <w:rFonts w:ascii="Calibri" w:cs="Calibri" w:eastAsia="Calibri" w:hAnsi="Calibri"/>
          <w:sz w:val="19"/>
          <w:szCs w:val="19"/>
        </w:rPr>
        <w:t xml:space="preserve">Employer terminates: last day of employment. Employee resigns with notice: within three working days. Employee resigns without notice: within seven days. Applying one settlement timetable to all three means being late in the most common case.</w:t>
      </w:r>
    </w:p>
    <w:p>
      <w:pPr>
        <w:keepNext/>
        <w:spacing w:after="40" w:before="140"/>
      </w:pPr>
      <w:r>
        <w:rPr>
          <w:rFonts w:ascii="Calibri" w:cs="Calibri" w:eastAsia="Calibri" w:hAnsi="Calibri"/>
          <w:b/>
          <w:bCs/>
          <w:color w:val="14161B"/>
          <w:sz w:val="20"/>
          <w:szCs w:val="20"/>
        </w:rPr>
        <w:t xml:space="preserve">Third party rights</w:t>
      </w:r>
    </w:p>
    <w:p>
      <w:pPr>
        <w:spacing w:after="60" w:line="264"/>
        <w:jc w:val="both"/>
      </w:pPr>
      <w:r>
        <w:rPr>
          <w:rFonts w:ascii="Calibri" w:cs="Calibri" w:eastAsia="Calibri" w:hAnsi="Calibri"/>
          <w:sz w:val="19"/>
          <w:szCs w:val="19"/>
        </w:rPr>
        <w:t xml:space="preserve">Clause 9.5 excludes the Contracts (Rights of Third Parties) Act generally but preserves the ability of a related corporation to enforce confidentiality and restrictive covenants. Where the group structure means the employee has access to another entity’s information or customers, this is worth keeping.</w:t>
      </w:r>
    </w:p>
    <w:p>
      <w:pPr>
        <w:keepNext/>
        <w:spacing w:after="40" w:before="140"/>
      </w:pPr>
      <w:r>
        <w:rPr>
          <w:rFonts w:ascii="Calibri" w:cs="Calibri" w:eastAsia="Calibri" w:hAnsi="Calibri"/>
          <w:b/>
          <w:bCs/>
          <w:color w:val="14161B"/>
          <w:sz w:val="20"/>
          <w:szCs w:val="20"/>
        </w:rPr>
        <w:t xml:space="preserve">Wrongful dismissal claims go to the Tribunal</w:t>
      </w:r>
    </w:p>
    <w:p>
      <w:pPr>
        <w:spacing w:after="60" w:line="264"/>
        <w:jc w:val="both"/>
      </w:pPr>
      <w:r>
        <w:rPr>
          <w:rFonts w:ascii="Calibri" w:cs="Calibri" w:eastAsia="Calibri" w:hAnsi="Calibri"/>
          <w:sz w:val="19"/>
          <w:szCs w:val="19"/>
        </w:rPr>
        <w:t xml:space="preserve">Salary and wrongful dismissal disputes are mediated at the Tripartite Alliance for Dispute Management and, if unresolved, heard at the Employment Claims Tribunal, subject to claim limits. A contractual jurisdiction clause does not displace that route, and Clause 9.6 is drafted accordingly.</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Central Provident Fund rates and ceilings, Part IV thresholds, notice defaults, leave entitlements and the pending tripartite guidelines on restrictive covenants all change — have this contract reviewed by an employment adviser before use, and note that a major review of the Employment Act is under way with proposals expected in the second half of 2026.</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2026-08-22T06:55:28.192Z</dcterms:created>
  <dcterms:modified xsi:type="dcterms:W3CDTF">2026-08-22T06:55:28.192Z</dcterms:modified>
</cp:coreProperties>
</file>

<file path=docProps/custom.xml><?xml version="1.0" encoding="utf-8"?>
<Properties xmlns="http://schemas.openxmlformats.org/officeDocument/2006/custom-properties" xmlns:vt="http://schemas.openxmlformats.org/officeDocument/2006/docPropsVTypes"/>
</file>