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EMPLOYEE HANDBOOK</w:t>
      </w:r>
    </w:p>
    <w:p>
      <w:pPr>
        <w:spacing w:after="260"/>
        <w:jc w:val="center"/>
      </w:pPr>
      <w:r>
        <w:rPr>
          <w:rFonts w:ascii="Calibri" w:cs="Calibri" w:eastAsia="Calibri" w:hAnsi="Calibri"/>
          <w:b/>
          <w:bCs/>
          <w:i/>
          <w:iCs/>
          <w:color w:val="6E7480"/>
          <w:sz w:val="19"/>
          <w:szCs w:val="19"/>
        </w:rPr>
        <w:t xml:space="preserve">[COMPANY NAME]</w:t>
      </w:r>
    </w:p>
    <w:p>
      <w:pPr>
        <w:spacing w:after="180" w:before="0" w:line="276"/>
        <w:jc w:val="both"/>
      </w:pPr>
      <w:r>
        <w:rPr>
          <w:rFonts w:ascii="Calibri" w:cs="Calibri" w:eastAsia="Calibri" w:hAnsi="Calibri"/>
          <w:i/>
          <w:iCs/>
          <w:color w:val="6E7480"/>
          <w:sz w:val="21"/>
          <w:szCs w:val="21"/>
        </w:rPr>
        <w:t xml:space="preserve">A handbook should say what the Company will do, not merely what employees must not. Keep it separate from the contract: policies that are expressed as contractual terms cannot be changed without agreement, which is rarely what an employer intends. State plainly that the handbook is not part of the contract, and then keep that true.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698"/>
        <w:gridCol w:w="6940"/>
      </w:tblGrid>
      <w:tr>
        <w:trPr>
          <w:tblHeader/>
        </w:trPr>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9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Version</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effective </w:t>
            </w:r>
            <w:r>
              <w:rPr>
                <w:rFonts w:ascii="Calibri" w:cs="Calibri" w:eastAsia="Calibri" w:hAnsi="Calibri"/>
                <w:b/>
                <w:bCs/>
                <w:sz w:val="19"/>
                <w:szCs w:val="19"/>
              </w:rPr>
              <w:t xml:space="preserve">[DATE]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Approved by</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Owner</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[DESIGNATION]</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Applies to</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All employees in Singapore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Contractual?</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w:t>
            </w:r>
            <w:r>
              <w:rPr>
                <w:rFonts w:ascii="Calibri" w:cs="Calibri" w:eastAsia="Calibri" w:hAnsi="Calibri"/>
                <w:sz w:val="19"/>
                <w:szCs w:val="19"/>
              </w:rPr>
              <w:t xml:space="preserve"> — see the statement below</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Available at</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[LOCATION OR LINK]</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Review</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Annually</w:t>
            </w:r>
          </w:p>
        </w:tc>
      </w:tr>
    </w:tbl>
    <w:p>
      <w:pPr>
        <w:spacing w:after="160"/>
      </w:pPr>
    </w:p>
    <w:p>
      <w:pPr>
        <w:spacing w:after="180" w:before="0" w:line="276"/>
        <w:jc w:val="both"/>
      </w:pPr>
      <w:r>
        <w:rPr>
          <w:rFonts w:ascii="Calibri" w:cs="Calibri" w:eastAsia="Calibri" w:hAnsi="Calibri"/>
          <w:b/>
          <w:bCs/>
          <w:sz w:val="21"/>
          <w:szCs w:val="21"/>
        </w:rPr>
        <w:t xml:space="preserve">Status of this handbook.</w:t>
      </w:r>
      <w:r>
        <w:rPr>
          <w:rFonts w:ascii="Calibri" w:cs="Calibri" w:eastAsia="Calibri" w:hAnsi="Calibri"/>
          <w:sz w:val="21"/>
          <w:szCs w:val="21"/>
        </w:rPr>
        <w:t xml:space="preserve"> This handbook describes the Company’s policies and practices. Except where a provision states otherwise, </w:t>
      </w:r>
      <w:r>
        <w:rPr>
          <w:rFonts w:ascii="Calibri" w:cs="Calibri" w:eastAsia="Calibri" w:hAnsi="Calibri"/>
          <w:b/>
          <w:bCs/>
          <w:sz w:val="21"/>
          <w:szCs w:val="21"/>
        </w:rPr>
        <w:t xml:space="preserve">it does not form part of any contract of employment</w:t>
      </w:r>
      <w:r>
        <w:rPr>
          <w:rFonts w:ascii="Calibri" w:cs="Calibri" w:eastAsia="Calibri" w:hAnsi="Calibri"/>
          <w:sz w:val="21"/>
          <w:szCs w:val="21"/>
        </w:rPr>
        <w:t xml:space="preserve"> and the Company may amend it from time to time on notice. Where this handbook conflicts with your contract of employment or key employment terms, those documents prevail. Where it conflicts with the law, the law prevails.</w:t>
      </w:r>
    </w:p>
    <w:p>
      <w:pPr>
        <w:keepNext/>
        <w:spacing w:after="120" w:before="280"/>
        <w:outlineLvl w:val="0"/>
      </w:pPr>
      <w:r>
        <w:rPr>
          <w:rFonts w:ascii="Calibri" w:cs="Calibri" w:eastAsia="Calibri" w:hAnsi="Calibri"/>
          <w:b/>
          <w:bCs/>
          <w:color w:val="14161B"/>
          <w:sz w:val="22"/>
          <w:szCs w:val="22"/>
        </w:rPr>
        <w:t xml:space="preserve">1. WORKING WITH US</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b/>
          <w:bCs/>
          <w:sz w:val="21"/>
          <w:szCs w:val="21"/>
        </w:rPr>
        <w:t xml:space="preserve">Working hours.</w:t>
      </w:r>
      <w:r>
        <w:rPr>
          <w:rFonts w:ascii="Calibri" w:cs="Calibri" w:eastAsia="Calibri" w:hAnsi="Calibri"/>
          <w:sz w:val="21"/>
          <w:szCs w:val="21"/>
        </w:rPr>
        <w:t xml:space="preserve"> Standard hours are </w:t>
      </w:r>
      <w:r>
        <w:rPr>
          <w:rFonts w:ascii="Calibri" w:cs="Calibri" w:eastAsia="Calibri" w:hAnsi="Calibri"/>
          <w:b/>
          <w:bCs/>
          <w:sz w:val="21"/>
          <w:szCs w:val="21"/>
        </w:rPr>
        <w:t xml:space="preserve">[HOURS]</w:t>
      </w:r>
      <w:r>
        <w:rPr>
          <w:rFonts w:ascii="Calibri" w:cs="Calibri" w:eastAsia="Calibri" w:hAnsi="Calibri"/>
          <w:sz w:val="21"/>
          <w:szCs w:val="21"/>
        </w:rPr>
        <w:t xml:space="preserve">, </w:t>
      </w:r>
      <w:r>
        <w:rPr>
          <w:rFonts w:ascii="Calibri" w:cs="Calibri" w:eastAsia="Calibri" w:hAnsi="Calibri"/>
          <w:b/>
          <w:bCs/>
          <w:sz w:val="21"/>
          <w:szCs w:val="21"/>
        </w:rPr>
        <w:t xml:space="preserve">[TIME]</w:t>
      </w:r>
      <w:r>
        <w:rPr>
          <w:rFonts w:ascii="Calibri" w:cs="Calibri" w:eastAsia="Calibri" w:hAnsi="Calibri"/>
          <w:sz w:val="21"/>
          <w:szCs w:val="21"/>
        </w:rPr>
        <w:t xml:space="preserve"> to </w:t>
      </w:r>
      <w:r>
        <w:rPr>
          <w:rFonts w:ascii="Calibri" w:cs="Calibri" w:eastAsia="Calibri" w:hAnsi="Calibri"/>
          <w:b/>
          <w:bCs/>
          <w:sz w:val="21"/>
          <w:szCs w:val="21"/>
        </w:rPr>
        <w:t xml:space="preserve">[TIME]</w:t>
      </w:r>
      <w:r>
        <w:rPr>
          <w:rFonts w:ascii="Calibri" w:cs="Calibri" w:eastAsia="Calibri" w:hAnsi="Calibri"/>
          <w:sz w:val="21"/>
          <w:szCs w:val="21"/>
        </w:rPr>
        <w:t xml:space="preserve">, </w:t>
      </w:r>
      <w:r>
        <w:rPr>
          <w:rFonts w:ascii="Calibri" w:cs="Calibri" w:eastAsia="Calibri" w:hAnsi="Calibri"/>
          <w:b/>
          <w:bCs/>
          <w:sz w:val="21"/>
          <w:szCs w:val="21"/>
        </w:rPr>
        <w:t xml:space="preserve">[DAYS]</w:t>
      </w:r>
      <w:r>
        <w:rPr>
          <w:rFonts w:ascii="Calibri" w:cs="Calibri" w:eastAsia="Calibri" w:hAnsi="Calibri"/>
          <w:sz w:val="21"/>
          <w:szCs w:val="21"/>
        </w:rPr>
        <w:t xml:space="preserve"> days per week, with a rest day on </w:t>
      </w:r>
      <w:r>
        <w:rPr>
          <w:rFonts w:ascii="Calibri" w:cs="Calibri" w:eastAsia="Calibri" w:hAnsi="Calibri"/>
          <w:b/>
          <w:bCs/>
          <w:sz w:val="21"/>
          <w:szCs w:val="21"/>
        </w:rPr>
        <w:t xml:space="preserve">[DAY]</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b/>
          <w:bCs/>
          <w:sz w:val="21"/>
          <w:szCs w:val="21"/>
        </w:rPr>
        <w:t xml:space="preserve">Part IV coverage.</w:t>
      </w:r>
      <w:r>
        <w:rPr>
          <w:rFonts w:ascii="Calibri" w:cs="Calibri" w:eastAsia="Calibri" w:hAnsi="Calibri"/>
          <w:sz w:val="21"/>
          <w:szCs w:val="21"/>
        </w:rPr>
        <w:t xml:space="preserve"> Employees covered by Part IV of the Employment Act are subject to statutory limits on hours and rest days and are entitled to overtime pay at </w:t>
      </w:r>
      <w:r>
        <w:rPr>
          <w:rFonts w:ascii="Calibri" w:cs="Calibri" w:eastAsia="Calibri" w:hAnsi="Calibri"/>
          <w:b/>
          <w:bCs/>
          <w:sz w:val="21"/>
          <w:szCs w:val="21"/>
        </w:rPr>
        <w:t xml:space="preserve">1.5 times</w:t>
      </w:r>
      <w:r>
        <w:rPr>
          <w:rFonts w:ascii="Calibri" w:cs="Calibri" w:eastAsia="Calibri" w:hAnsi="Calibri"/>
          <w:sz w:val="21"/>
          <w:szCs w:val="21"/>
        </w:rPr>
        <w:t xml:space="preserve"> the hourly basic rate. Managers and executives are not covered. Your key employment terms state which applies to you.</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b/>
          <w:bCs/>
          <w:sz w:val="21"/>
          <w:szCs w:val="21"/>
        </w:rPr>
        <w:t xml:space="preserve">Overtime</w:t>
      </w:r>
      <w:r>
        <w:rPr>
          <w:rFonts w:ascii="Calibri" w:cs="Calibri" w:eastAsia="Calibri" w:hAnsi="Calibri"/>
          <w:sz w:val="21"/>
          <w:szCs w:val="21"/>
        </w:rPr>
        <w:t xml:space="preserve"> must be authorised in advance and is paid within fourteen days after the end of the salary period in which it was worked.</w:t>
      </w:r>
    </w:p>
    <w:p>
      <w:pPr>
        <w:spacing w:after="120" w:before="60" w:line="276"/>
        <w:ind w:left="720" w:hanging="720"/>
        <w:jc w:val="both"/>
      </w:pPr>
      <w:r>
        <w:rPr>
          <w:rFonts w:ascii="Calibri" w:cs="Calibri" w:eastAsia="Calibri" w:hAnsi="Calibri"/>
          <w:sz w:val="21"/>
          <w:szCs w:val="21"/>
        </w:rPr>
        <w:t xml:space="preserve">1.4	</w:t>
      </w:r>
      <w:r>
        <w:rPr>
          <w:rFonts w:ascii="Calibri" w:cs="Calibri" w:eastAsia="Calibri" w:hAnsi="Calibri"/>
          <w:b/>
          <w:bCs/>
          <w:sz w:val="21"/>
          <w:szCs w:val="21"/>
        </w:rPr>
        <w:t xml:space="preserve">Flexible work arrangements.</w:t>
      </w:r>
      <w:r>
        <w:rPr>
          <w:rFonts w:ascii="Calibri" w:cs="Calibri" w:eastAsia="Calibri" w:hAnsi="Calibri"/>
          <w:sz w:val="21"/>
          <w:szCs w:val="21"/>
        </w:rPr>
        <w:t xml:space="preserve"> You may make a formal request for a flexible work arrangement. The Company will consider it properly and respond in writing within two months, giving a business reason for any refusal. See the flexible work arrangement policy.</w:t>
      </w:r>
    </w:p>
    <w:p>
      <w:pPr>
        <w:spacing w:after="120" w:before="60" w:line="276"/>
        <w:ind w:left="720" w:hanging="720"/>
        <w:jc w:val="both"/>
      </w:pPr>
      <w:r>
        <w:rPr>
          <w:rFonts w:ascii="Calibri" w:cs="Calibri" w:eastAsia="Calibri" w:hAnsi="Calibri"/>
          <w:sz w:val="21"/>
          <w:szCs w:val="21"/>
        </w:rPr>
        <w:t xml:space="preserve">1.5	</w:t>
      </w:r>
      <w:r>
        <w:rPr>
          <w:rFonts w:ascii="Calibri" w:cs="Calibri" w:eastAsia="Calibri" w:hAnsi="Calibri"/>
          <w:b/>
          <w:bCs/>
          <w:sz w:val="21"/>
          <w:szCs w:val="21"/>
        </w:rPr>
        <w:t xml:space="preserve">Attendance.</w:t>
      </w:r>
      <w:r>
        <w:rPr>
          <w:rFonts w:ascii="Calibri" w:cs="Calibri" w:eastAsia="Calibri" w:hAnsi="Calibri"/>
          <w:sz w:val="21"/>
          <w:szCs w:val="21"/>
        </w:rPr>
        <w:t xml:space="preserve"> Tell your manager as early as possible if you cannot attend. Persistent unexplained absence is a conduct matter.</w:t>
      </w:r>
    </w:p>
    <w:p>
      <w:pPr>
        <w:keepNext/>
        <w:spacing w:after="120" w:before="280"/>
        <w:outlineLvl w:val="0"/>
      </w:pPr>
      <w:r>
        <w:rPr>
          <w:rFonts w:ascii="Calibri" w:cs="Calibri" w:eastAsia="Calibri" w:hAnsi="Calibri"/>
          <w:b/>
          <w:bCs/>
          <w:color w:val="14161B"/>
          <w:sz w:val="22"/>
          <w:szCs w:val="22"/>
        </w:rPr>
        <w:t xml:space="preserve">2. PAY</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Salary is paid monthly, within </w:t>
      </w:r>
      <w:r>
        <w:rPr>
          <w:rFonts w:ascii="Calibri" w:cs="Calibri" w:eastAsia="Calibri" w:hAnsi="Calibri"/>
          <w:b/>
          <w:bCs/>
          <w:sz w:val="21"/>
          <w:szCs w:val="21"/>
        </w:rPr>
        <w:t xml:space="preserve">seven days</w:t>
      </w:r>
      <w:r>
        <w:rPr>
          <w:rFonts w:ascii="Calibri" w:cs="Calibri" w:eastAsia="Calibri" w:hAnsi="Calibri"/>
          <w:sz w:val="21"/>
          <w:szCs w:val="21"/>
        </w:rPr>
        <w:t xml:space="preserve"> after the end of the salary period, by credit to your bank account.</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You will receive an </w:t>
      </w:r>
      <w:r>
        <w:rPr>
          <w:rFonts w:ascii="Calibri" w:cs="Calibri" w:eastAsia="Calibri" w:hAnsi="Calibri"/>
          <w:b/>
          <w:bCs/>
          <w:sz w:val="21"/>
          <w:szCs w:val="21"/>
        </w:rPr>
        <w:t xml:space="preserve">itemised payslip</w:t>
      </w:r>
      <w:r>
        <w:rPr>
          <w:rFonts w:ascii="Calibri" w:cs="Calibri" w:eastAsia="Calibri" w:hAnsi="Calibri"/>
          <w:sz w:val="21"/>
          <w:szCs w:val="21"/>
        </w:rPr>
        <w:t xml:space="preserve"> with each payment, or within three working days of it. Please check it and raise any discrepancy with </w:t>
      </w:r>
      <w:r>
        <w:rPr>
          <w:rFonts w:ascii="Calibri" w:cs="Calibri" w:eastAsia="Calibri" w:hAnsi="Calibri"/>
          <w:b/>
          <w:bCs/>
          <w:sz w:val="21"/>
          <w:szCs w:val="21"/>
        </w:rPr>
        <w:t xml:space="preserve">[NAME]</w:t>
      </w:r>
      <w:r>
        <w:rPr>
          <w:rFonts w:ascii="Calibri" w:cs="Calibri" w:eastAsia="Calibri" w:hAnsi="Calibri"/>
          <w:sz w:val="21"/>
          <w:szCs w:val="21"/>
        </w:rPr>
        <w:t xml:space="preserve"> promptly.</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b/>
          <w:bCs/>
          <w:sz w:val="21"/>
          <w:szCs w:val="21"/>
        </w:rPr>
        <w:t xml:space="preserve">Central Provident Fund.</w:t>
      </w:r>
      <w:r>
        <w:rPr>
          <w:rFonts w:ascii="Calibri" w:cs="Calibri" w:eastAsia="Calibri" w:hAnsi="Calibri"/>
          <w:sz w:val="21"/>
          <w:szCs w:val="21"/>
        </w:rPr>
        <w:t xml:space="preserve"> Where you are a Singapore citizen or permanent resident, employer and employee contributions are made at the rates for your age band, and the employee share is deducted from your salary. </w:t>
      </w:r>
      <w:r>
        <w:rPr>
          <w:rFonts w:ascii="Calibri" w:cs="Calibri" w:eastAsia="Calibri" w:hAnsi="Calibri"/>
          <w:b/>
          <w:bCs/>
          <w:sz w:val="21"/>
          <w:szCs w:val="21"/>
        </w:rPr>
        <w:t xml:space="preserve">Where you hold a work pass, contributions are not payable</w:t>
      </w:r>
      <w:r>
        <w:rPr>
          <w:rFonts w:ascii="Calibri" w:cs="Calibri" w:eastAsia="Calibri" w:hAnsi="Calibri"/>
          <w:sz w:val="21"/>
          <w:szCs w:val="21"/>
        </w:rPr>
        <w:t xml:space="preserve"> and none will be deducted.</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Deductions are limited to those the law permits. The total deducted in any salary period is subject to a statutory limit, excluding deductions for absence, income tax and Central Provident Fund contributions.</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b/>
          <w:bCs/>
          <w:sz w:val="21"/>
          <w:szCs w:val="21"/>
        </w:rPr>
        <w:t xml:space="preserve">[Where an Annual Wage Supplement is payable]</w:t>
      </w:r>
      <w:r>
        <w:rPr>
          <w:rFonts w:ascii="Calibri" w:cs="Calibri" w:eastAsia="Calibri" w:hAnsi="Calibri"/>
          <w:sz w:val="21"/>
          <w:szCs w:val="21"/>
        </w:rPr>
        <w:t xml:space="preserve"> An Annual Wage Supplement of </w:t>
      </w:r>
      <w:r>
        <w:rPr>
          <w:rFonts w:ascii="Calibri" w:cs="Calibri" w:eastAsia="Calibri" w:hAnsi="Calibri"/>
          <w:b/>
          <w:bCs/>
          <w:sz w:val="21"/>
          <w:szCs w:val="21"/>
        </w:rPr>
        <w:t xml:space="preserve">[DETAIL]</w:t>
      </w:r>
      <w:r>
        <w:rPr>
          <w:rFonts w:ascii="Calibri" w:cs="Calibri" w:eastAsia="Calibri" w:hAnsi="Calibri"/>
          <w:sz w:val="21"/>
          <w:szCs w:val="21"/>
        </w:rPr>
        <w:t xml:space="preserve"> is payable </w:t>
      </w:r>
      <w:r>
        <w:rPr>
          <w:rFonts w:ascii="Calibri" w:cs="Calibri" w:eastAsia="Calibri" w:hAnsi="Calibri"/>
          <w:b/>
          <w:bCs/>
          <w:sz w:val="21"/>
          <w:szCs w:val="21"/>
        </w:rPr>
        <w:t xml:space="preserve">[on the terms stated]</w:t>
      </w:r>
      <w:r>
        <w:rPr>
          <w:rFonts w:ascii="Calibri" w:cs="Calibri" w:eastAsia="Calibri" w:hAnsi="Calibri"/>
          <w:sz w:val="21"/>
          <w:szCs w:val="21"/>
        </w:rPr>
        <w:t xml:space="preserve">. </w:t>
      </w:r>
      <w:r>
        <w:rPr>
          <w:rFonts w:ascii="Calibri" w:cs="Calibri" w:eastAsia="Calibri" w:hAnsi="Calibri"/>
          <w:i/>
          <w:iCs/>
          <w:sz w:val="21"/>
          <w:szCs w:val="21"/>
        </w:rPr>
        <w:t xml:space="preserve">This is contractual, not statutory — state the position clearly or omit the clause.</w:t>
      </w:r>
    </w:p>
    <w:p>
      <w:pPr>
        <w:keepNext/>
        <w:spacing w:after="120" w:before="280"/>
        <w:outlineLvl w:val="0"/>
      </w:pPr>
      <w:r>
        <w:rPr>
          <w:rFonts w:ascii="Calibri" w:cs="Calibri" w:eastAsia="Calibri" w:hAnsi="Calibri"/>
          <w:b/>
          <w:bCs/>
          <w:color w:val="14161B"/>
          <w:sz w:val="22"/>
          <w:szCs w:val="22"/>
        </w:rPr>
        <w:t xml:space="preserve">3. LEAVE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313"/>
        <w:gridCol w:w="3662"/>
        <w:gridCol w:w="3663"/>
      </w:tblGrid>
      <w:tr>
        <w:trPr>
          <w:tblHeader/>
        </w:trPr>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Type</w:t>
            </w:r>
          </w:p>
        </w:tc>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Entitlement</w:t>
            </w:r>
          </w:p>
        </w:tc>
        <w:tc>
          <w:tcPr>
            <w:tcW w:type="dxa" w:w="36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How to apply</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Annual leave</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r>
              <w:rPr>
                <w:rFonts w:ascii="Calibri" w:cs="Calibri" w:eastAsia="Calibri" w:hAnsi="Calibri"/>
                <w:sz w:val="18"/>
                <w:szCs w:val="18"/>
              </w:rPr>
              <w:t xml:space="preserve"> days per year, accruing after 3 months’ service</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Apply through </w:t>
            </w:r>
            <w:r>
              <w:rPr>
                <w:rFonts w:ascii="Calibri" w:cs="Calibri" w:eastAsia="Calibri" w:hAnsi="Calibri"/>
                <w:b/>
                <w:bCs/>
                <w:sz w:val="18"/>
                <w:szCs w:val="18"/>
              </w:rPr>
              <w:t xml:space="preserve">[SYSTEM]</w:t>
            </w:r>
            <w:r>
              <w:rPr>
                <w:rFonts w:ascii="Calibri" w:cs="Calibri" w:eastAsia="Calibri" w:hAnsi="Calibri"/>
                <w:sz w:val="18"/>
                <w:szCs w:val="18"/>
              </w:rPr>
              <w:t xml:space="preserve"> at least </w:t>
            </w:r>
            <w:r>
              <w:rPr>
                <w:rFonts w:ascii="Calibri" w:cs="Calibri" w:eastAsia="Calibri" w:hAnsi="Calibri"/>
                <w:b/>
                <w:bCs/>
                <w:sz w:val="18"/>
                <w:szCs w:val="18"/>
              </w:rPr>
              <w:t xml:space="preserve">[NUMBER]</w:t>
            </w:r>
            <w:r>
              <w:rPr>
                <w:rFonts w:ascii="Calibri" w:cs="Calibri" w:eastAsia="Calibri" w:hAnsi="Calibri"/>
                <w:sz w:val="18"/>
                <w:szCs w:val="18"/>
              </w:rPr>
              <w:t xml:space="preserve"> days in advance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Sick leave — outpatient</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Up to </w:t>
            </w:r>
            <w:r>
              <w:rPr>
                <w:rFonts w:ascii="Calibri" w:cs="Calibri" w:eastAsia="Calibri" w:hAnsi="Calibri"/>
                <w:b/>
                <w:bCs/>
                <w:sz w:val="18"/>
                <w:szCs w:val="18"/>
              </w:rPr>
              <w:t xml:space="preserve">[NUMBER]</w:t>
            </w:r>
            <w:r>
              <w:rPr>
                <w:rFonts w:ascii="Calibri" w:cs="Calibri" w:eastAsia="Calibri" w:hAnsi="Calibri"/>
                <w:sz w:val="18"/>
                <w:szCs w:val="18"/>
              </w:rPr>
              <w:t xml:space="preserve"> days after 6 months’ service</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Inform your manager the same day; produce a medical certificate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Sick leave — hospitalisation</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Up to </w:t>
            </w:r>
            <w:r>
              <w:rPr>
                <w:rFonts w:ascii="Calibri" w:cs="Calibri" w:eastAsia="Calibri" w:hAnsi="Calibri"/>
                <w:b/>
                <w:bCs/>
                <w:sz w:val="18"/>
                <w:szCs w:val="18"/>
              </w:rPr>
              <w:t xml:space="preserve">[NUMBER]</w:t>
            </w:r>
            <w:r>
              <w:rPr>
                <w:rFonts w:ascii="Calibri" w:cs="Calibri" w:eastAsia="Calibri" w:hAnsi="Calibri"/>
                <w:sz w:val="18"/>
                <w:szCs w:val="18"/>
              </w:rPr>
              <w:t xml:space="preserve"> days, inclusive of outpatient</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 above, with hospitalisation documentation</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Maternity leave</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16 weeks</w:t>
            </w:r>
            <w:r>
              <w:rPr>
                <w:rFonts w:ascii="Calibri" w:cs="Calibri" w:eastAsia="Calibri" w:hAnsi="Calibri"/>
                <w:sz w:val="18"/>
                <w:szCs w:val="18"/>
              </w:rPr>
              <w:t xml:space="preserve"> for an eligible Singapore citizen child</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Notify at least 1 week before starting leave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Paternity leave</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4 weeks</w:t>
            </w:r>
            <w:r>
              <w:rPr>
                <w:rFonts w:ascii="Calibri" w:cs="Calibri" w:eastAsia="Calibri" w:hAnsi="Calibri"/>
                <w:sz w:val="18"/>
                <w:szCs w:val="18"/>
              </w:rPr>
              <w:t xml:space="preserve">, mandatory for eligible fathers</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Notify at least 1 week before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Shared parental leave</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10 weeks</w:t>
            </w:r>
            <w:r>
              <w:rPr>
                <w:rFonts w:ascii="Calibri" w:cs="Calibri" w:eastAsia="Calibri" w:hAnsi="Calibri"/>
                <w:sz w:val="18"/>
                <w:szCs w:val="18"/>
              </w:rPr>
              <w:t xml:space="preserve"> shared, for children born or adopted from 1 April 2026</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Through the government portal and your manager</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Adoption leave</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12 weeks</w:t>
            </w:r>
            <w:r>
              <w:rPr>
                <w:rFonts w:ascii="Calibri" w:cs="Calibri" w:eastAsia="Calibri" w:hAnsi="Calibri"/>
                <w:sz w:val="18"/>
                <w:szCs w:val="18"/>
              </w:rPr>
              <w:t xml:space="preserve"> for eligible adoptive mothers</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Notify with documentation</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Childcare leave</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6 days</w:t>
            </w:r>
            <w:r>
              <w:rPr>
                <w:rFonts w:ascii="Calibri" w:cs="Calibri" w:eastAsia="Calibri" w:hAnsi="Calibri"/>
                <w:sz w:val="18"/>
                <w:szCs w:val="18"/>
              </w:rPr>
              <w:t xml:space="preserve"> for an eligible Singapore citizen child under 7; 2 days otherwise</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Apply as for annual leave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Extended childcare leave</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2 days</w:t>
            </w:r>
            <w:r>
              <w:rPr>
                <w:rFonts w:ascii="Calibri" w:cs="Calibri" w:eastAsia="Calibri" w:hAnsi="Calibri"/>
                <w:sz w:val="18"/>
                <w:szCs w:val="18"/>
              </w:rPr>
              <w:t xml:space="preserve"> where the youngest child is 7 to 12</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 above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Unpaid infant care leave</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12 days</w:t>
            </w:r>
            <w:r>
              <w:rPr>
                <w:rFonts w:ascii="Calibri" w:cs="Calibri" w:eastAsia="Calibri" w:hAnsi="Calibri"/>
                <w:sz w:val="18"/>
                <w:szCs w:val="18"/>
              </w:rPr>
              <w:t xml:space="preserve"> per parent per year</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Agree timing with your manager</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Public holidays</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11</w:t>
            </w:r>
            <w:r>
              <w:rPr>
                <w:rFonts w:ascii="Calibri" w:cs="Calibri" w:eastAsia="Calibri" w:hAnsi="Calibri"/>
                <w:sz w:val="18"/>
                <w:szCs w:val="18"/>
              </w:rPr>
              <w:t xml:space="preserve"> gazetted days</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Automatic</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[Compassionate leave]</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r>
              <w:rPr>
                <w:rFonts w:ascii="Calibri" w:cs="Calibri" w:eastAsia="Calibri" w:hAnsi="Calibri"/>
                <w:sz w:val="18"/>
                <w:szCs w:val="18"/>
              </w:rPr>
              <w:t xml:space="preserve"> days</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Contractual, not statutory</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[Marriage, examination, other]</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Contractual, not statutory</w:t>
            </w:r>
          </w:p>
        </w:tc>
      </w:tr>
    </w:tbl>
    <w:p>
      <w:pPr>
        <w:spacing w:after="140"/>
      </w:pP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Unused annual leave </w:t>
      </w:r>
      <w:r>
        <w:rPr>
          <w:rFonts w:ascii="Calibri" w:cs="Calibri" w:eastAsia="Calibri" w:hAnsi="Calibri"/>
          <w:b/>
          <w:bCs/>
          <w:sz w:val="21"/>
          <w:szCs w:val="21"/>
        </w:rPr>
        <w:t xml:space="preserve">[may be carried forward up to ______ days / lapses at year end / is encashed]</w:t>
      </w:r>
      <w:r>
        <w:rPr>
          <w:rFonts w:ascii="Calibri" w:cs="Calibri" w:eastAsia="Calibri" w:hAnsi="Calibri"/>
          <w:sz w:val="21"/>
          <w:szCs w:val="21"/>
        </w:rPr>
        <w:t xml:space="preserve">. </w:t>
      </w:r>
      <w:r>
        <w:rPr>
          <w:rFonts w:ascii="Calibri" w:cs="Calibri" w:eastAsia="Calibri" w:hAnsi="Calibri"/>
          <w:i/>
          <w:iCs/>
          <w:sz w:val="21"/>
          <w:szCs w:val="21"/>
        </w:rPr>
        <w:t xml:space="preserve">(A commercial decision — specify.)</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On leaving, accrued but unused annual leave is paid in your final settlement.</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HOW WE TREAT EACH OTHER</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The Company makes employment decisions on merit and does not discriminate on the ground of any protected characteristic — age; nationality; sex, marital status, pregnancy status or caregiving responsibilities; race, religion or language ability; or disability or mental health condition. See the workplace fairness and grievance policy.</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Harassment of any kind is not tolerated, whoever is responsible and whatever their seniority. See the anti-harassment policy, which names the people you can report to.</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b/>
          <w:bCs/>
          <w:sz w:val="21"/>
          <w:szCs w:val="21"/>
        </w:rPr>
        <w:t xml:space="preserve">Raising a concern.</w:t>
      </w:r>
      <w:r>
        <w:rPr>
          <w:rFonts w:ascii="Calibri" w:cs="Calibri" w:eastAsia="Calibri" w:hAnsi="Calibri"/>
          <w:sz w:val="21"/>
          <w:szCs w:val="21"/>
        </w:rPr>
        <w:t xml:space="preserve"> If something is wrong, tell </w:t>
      </w:r>
      <w:r>
        <w:rPr>
          <w:rFonts w:ascii="Calibri" w:cs="Calibri" w:eastAsia="Calibri" w:hAnsi="Calibri"/>
          <w:b/>
          <w:bCs/>
          <w:sz w:val="21"/>
          <w:szCs w:val="21"/>
        </w:rPr>
        <w:t xml:space="preserve">[NAME]</w:t>
      </w:r>
      <w:r>
        <w:rPr>
          <w:rFonts w:ascii="Calibri" w:cs="Calibri" w:eastAsia="Calibri" w:hAnsi="Calibri"/>
          <w:sz w:val="21"/>
          <w:szCs w:val="21"/>
        </w:rPr>
        <w:t xml:space="preserve"> at </w:t>
      </w:r>
      <w:r>
        <w:rPr>
          <w:rFonts w:ascii="Calibri" w:cs="Calibri" w:eastAsia="Calibri" w:hAnsi="Calibri"/>
          <w:b/>
          <w:bCs/>
          <w:sz w:val="21"/>
          <w:szCs w:val="21"/>
        </w:rPr>
        <w:t xml:space="preserve">[EMAIL]</w:t>
      </w:r>
      <w:r>
        <w:rPr>
          <w:rFonts w:ascii="Calibri" w:cs="Calibri" w:eastAsia="Calibri" w:hAnsi="Calibri"/>
          <w:sz w:val="21"/>
          <w:szCs w:val="21"/>
        </w:rPr>
        <w:t xml:space="preserve"> or </w:t>
      </w:r>
      <w:r>
        <w:rPr>
          <w:rFonts w:ascii="Calibri" w:cs="Calibri" w:eastAsia="Calibri" w:hAnsi="Calibri"/>
          <w:b/>
          <w:bCs/>
          <w:sz w:val="21"/>
          <w:szCs w:val="21"/>
        </w:rPr>
        <w:t xml:space="preserve">[NAME]</w:t>
      </w:r>
      <w:r>
        <w:rPr>
          <w:rFonts w:ascii="Calibri" w:cs="Calibri" w:eastAsia="Calibri" w:hAnsi="Calibri"/>
          <w:sz w:val="21"/>
          <w:szCs w:val="21"/>
        </w:rPr>
        <w:t xml:space="preserve"> at </w:t>
      </w:r>
      <w:r>
        <w:rPr>
          <w:rFonts w:ascii="Calibri" w:cs="Calibri" w:eastAsia="Calibri" w:hAnsi="Calibri"/>
          <w:b/>
          <w:bCs/>
          <w:sz w:val="21"/>
          <w:szCs w:val="21"/>
        </w:rPr>
        <w:t xml:space="preserve">[EMAIL]</w:t>
      </w:r>
      <w:r>
        <w:rPr>
          <w:rFonts w:ascii="Calibri" w:cs="Calibri" w:eastAsia="Calibri" w:hAnsi="Calibri"/>
          <w:sz w:val="21"/>
          <w:szCs w:val="21"/>
        </w:rPr>
        <w:t xml:space="preserve">. Two contacts are named so that you always have a route that does not run through the person concerned.</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No one will be treated adversely for raising a concern in good faith, assisting an inquiry, or giving evidence. If you think you have been, say so immediately.</w:t>
      </w:r>
    </w:p>
    <w:p>
      <w:pPr>
        <w:keepNext/>
        <w:spacing w:after="120" w:before="280"/>
        <w:outlineLvl w:val="0"/>
      </w:pPr>
      <w:r>
        <w:rPr>
          <w:rFonts w:ascii="Calibri" w:cs="Calibri" w:eastAsia="Calibri" w:hAnsi="Calibri"/>
          <w:b/>
          <w:bCs/>
          <w:color w:val="14161B"/>
          <w:sz w:val="22"/>
          <w:szCs w:val="22"/>
        </w:rPr>
        <w:t xml:space="preserve">5. CONDUCT</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Act honestly, comply with the law and Company policies, protect Company and customer information, and avoid conflicts of interest.</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Declare in writing any outside employment, business, consultancy or directorship, and any personal interest in a transaction of the Company.</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The Company does not offer, give, solicit or accept bribes or improper payments. Gifts and hospitality above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 must be declared to </w:t>
      </w:r>
      <w:r>
        <w:rPr>
          <w:rFonts w:ascii="Calibri" w:cs="Calibri" w:eastAsia="Calibri" w:hAnsi="Calibri"/>
          <w:b/>
          <w:bCs/>
          <w:sz w:val="21"/>
          <w:szCs w:val="21"/>
        </w:rPr>
        <w:t xml:space="preserve">[DESIGNATION]</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b/>
          <w:bCs/>
          <w:sz w:val="21"/>
          <w:szCs w:val="21"/>
        </w:rPr>
        <w:t xml:space="preserve">Discipline.</w:t>
      </w:r>
      <w:r>
        <w:rPr>
          <w:rFonts w:ascii="Calibri" w:cs="Calibri" w:eastAsia="Calibri" w:hAnsi="Calibri"/>
          <w:sz w:val="21"/>
          <w:szCs w:val="21"/>
        </w:rPr>
        <w:t xml:space="preserve"> Where misconduct is alleged, the Company will hold a </w:t>
      </w:r>
      <w:r>
        <w:rPr>
          <w:rFonts w:ascii="Calibri" w:cs="Calibri" w:eastAsia="Calibri" w:hAnsi="Calibri"/>
          <w:b/>
          <w:bCs/>
          <w:sz w:val="21"/>
          <w:szCs w:val="21"/>
        </w:rPr>
        <w:t xml:space="preserve">due inquiry</w:t>
      </w:r>
      <w:r>
        <w:rPr>
          <w:rFonts w:ascii="Calibri" w:cs="Calibri" w:eastAsia="Calibri" w:hAnsi="Calibri"/>
          <w:sz w:val="21"/>
          <w:szCs w:val="21"/>
        </w:rPr>
        <w:t xml:space="preserve"> before any warning, downgrading or dismissal: you will be told the allegation, given a genuine opportunity to respond, and may be accompanied by a colleague. See the due inquiry procedure.</w:t>
      </w:r>
    </w:p>
    <w:p>
      <w:pPr>
        <w:spacing w:after="120" w:before="60" w:line="276"/>
        <w:ind w:left="720" w:hanging="720"/>
        <w:jc w:val="both"/>
      </w:pPr>
      <w:r>
        <w:rPr>
          <w:rFonts w:ascii="Calibri" w:cs="Calibri" w:eastAsia="Calibri" w:hAnsi="Calibri"/>
          <w:sz w:val="21"/>
          <w:szCs w:val="21"/>
        </w:rPr>
        <w:t xml:space="preserve">5.5	</w:t>
      </w:r>
      <w:r>
        <w:rPr>
          <w:rFonts w:ascii="Calibri" w:cs="Calibri" w:eastAsia="Calibri" w:hAnsi="Calibri"/>
          <w:sz w:val="21"/>
          <w:szCs w:val="21"/>
        </w:rPr>
        <w:t xml:space="preserve">Performance shortfalls are handled through the performance process, not the disciplinary process.</w:t>
      </w:r>
    </w:p>
    <w:p>
      <w:pPr>
        <w:keepNext/>
        <w:spacing w:after="120" w:before="280"/>
        <w:outlineLvl w:val="0"/>
      </w:pPr>
      <w:r>
        <w:rPr>
          <w:rFonts w:ascii="Calibri" w:cs="Calibri" w:eastAsia="Calibri" w:hAnsi="Calibri"/>
          <w:b/>
          <w:bCs/>
          <w:color w:val="14161B"/>
          <w:sz w:val="22"/>
          <w:szCs w:val="22"/>
        </w:rPr>
        <w:t xml:space="preserve">6. INFORMATION, DATA AND EQUIPMENT</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Keep Company and customer information confidential, during and after your employment.</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The Company processes your personal data for employment purposes in accordance with the Personal Data Protection Act 2012 and the employee privacy notice. Our Data Protection Officer is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[EMAIL]</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Report any suspected data breach </w:t>
      </w:r>
      <w:r>
        <w:rPr>
          <w:rFonts w:ascii="Calibri" w:cs="Calibri" w:eastAsia="Calibri" w:hAnsi="Calibri"/>
          <w:b/>
          <w:bCs/>
          <w:sz w:val="21"/>
          <w:szCs w:val="21"/>
        </w:rPr>
        <w:t xml:space="preserve">immediately</w:t>
      </w:r>
      <w:r>
        <w:rPr>
          <w:rFonts w:ascii="Calibri" w:cs="Calibri" w:eastAsia="Calibri" w:hAnsi="Calibri"/>
          <w:sz w:val="21"/>
          <w:szCs w:val="21"/>
        </w:rPr>
        <w:t xml:space="preserve"> to the Data Protection Officer. Do not attempt to assess or fix it first — speed of containment matters more than a tidy report.</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Do not transfer Company or customer data to personal devices, personal cloud storage or personal email.</w:t>
      </w:r>
    </w:p>
    <w:p>
      <w:pPr>
        <w:spacing w:after="120" w:before="60" w:line="276"/>
        <w:ind w:left="720" w:hanging="720"/>
        <w:jc w:val="both"/>
      </w:pPr>
      <w:r>
        <w:rPr>
          <w:rFonts w:ascii="Calibri" w:cs="Calibri" w:eastAsia="Calibri" w:hAnsi="Calibri"/>
          <w:sz w:val="21"/>
          <w:szCs w:val="21"/>
        </w:rPr>
        <w:t xml:space="preserve">6.5	</w:t>
      </w:r>
      <w:r>
        <w:rPr>
          <w:rFonts w:ascii="Calibri" w:cs="Calibri" w:eastAsia="Calibri" w:hAnsi="Calibri"/>
          <w:sz w:val="21"/>
          <w:szCs w:val="21"/>
        </w:rPr>
        <w:t xml:space="preserve">Company equipment and systems are provided for work. Limited reasonable personal use is permitted. </w:t>
      </w:r>
      <w:r>
        <w:rPr>
          <w:rFonts w:ascii="Calibri" w:cs="Calibri" w:eastAsia="Calibri" w:hAnsi="Calibri"/>
          <w:b/>
          <w:bCs/>
          <w:sz w:val="21"/>
          <w:szCs w:val="21"/>
        </w:rPr>
        <w:t xml:space="preserve">[STATE WHETHER AND HOW SYSTEMS ARE MONITORED — monitoring that is not disclosed is a data protection problem.]</w:t>
      </w:r>
    </w:p>
    <w:p>
      <w:pPr>
        <w:spacing w:after="120" w:before="60" w:line="276"/>
        <w:ind w:left="720" w:hanging="720"/>
        <w:jc w:val="both"/>
      </w:pPr>
      <w:r>
        <w:rPr>
          <w:rFonts w:ascii="Calibri" w:cs="Calibri" w:eastAsia="Calibri" w:hAnsi="Calibri"/>
          <w:sz w:val="21"/>
          <w:szCs w:val="21"/>
        </w:rPr>
        <w:t xml:space="preserve">6.6	</w:t>
      </w:r>
      <w:r>
        <w:rPr>
          <w:rFonts w:ascii="Calibri" w:cs="Calibri" w:eastAsia="Calibri" w:hAnsi="Calibri"/>
          <w:sz w:val="21"/>
          <w:szCs w:val="21"/>
        </w:rPr>
        <w:t xml:space="preserve">Intellectual property created in the course of your employment belongs to the Company.</w:t>
      </w:r>
    </w:p>
    <w:p>
      <w:pPr>
        <w:keepNext/>
        <w:spacing w:after="120" w:before="280"/>
        <w:outlineLvl w:val="0"/>
      </w:pPr>
      <w:r>
        <w:rPr>
          <w:rFonts w:ascii="Calibri" w:cs="Calibri" w:eastAsia="Calibri" w:hAnsi="Calibri"/>
          <w:b/>
          <w:bCs/>
          <w:color w:val="14161B"/>
          <w:sz w:val="22"/>
          <w:szCs w:val="22"/>
        </w:rPr>
        <w:t xml:space="preserve">7. HEALTH, SAFETY AND WELLBEING</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The Company will take reasonably practicable measures to ensure a safe workplace, and you must co-operate with them, use equipment properly, and not endanger yourself or others.</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Report any accident, injury, near miss or hazard to </w:t>
      </w:r>
      <w:r>
        <w:rPr>
          <w:rFonts w:ascii="Calibri" w:cs="Calibri" w:eastAsia="Calibri" w:hAnsi="Calibri"/>
          <w:b/>
          <w:bCs/>
          <w:sz w:val="21"/>
          <w:szCs w:val="21"/>
        </w:rPr>
        <w:t xml:space="preserve">[NAME]</w:t>
      </w:r>
      <w:r>
        <w:rPr>
          <w:rFonts w:ascii="Calibri" w:cs="Calibri" w:eastAsia="Calibri" w:hAnsi="Calibri"/>
          <w:sz w:val="21"/>
          <w:szCs w:val="21"/>
        </w:rPr>
        <w:t xml:space="preserve"> immediately.</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The Company maintains work injury compensation insurance for employees to whom the Work Injury Compensation Act applies.</w:t>
      </w:r>
    </w:p>
    <w:p>
      <w:pPr>
        <w:spacing w:after="120" w:before="60" w:line="276"/>
        <w:ind w:left="720" w:hanging="720"/>
        <w:jc w:val="both"/>
      </w:pPr>
      <w:r>
        <w:rPr>
          <w:rFonts w:ascii="Calibri" w:cs="Calibri" w:eastAsia="Calibri" w:hAnsi="Calibri"/>
          <w:sz w:val="21"/>
          <w:szCs w:val="21"/>
        </w:rPr>
        <w:t xml:space="preserve">7.4	</w:t>
      </w:r>
      <w:r>
        <w:rPr>
          <w:rFonts w:ascii="Calibri" w:cs="Calibri" w:eastAsia="Calibri" w:hAnsi="Calibri"/>
          <w:b/>
          <w:bCs/>
          <w:sz w:val="21"/>
          <w:szCs w:val="21"/>
        </w:rPr>
        <w:t xml:space="preserve">[DESCRIBE ANY EMPLOYEE ASSISTANCE PROGRAMME, COUNSELLING OR MENTAL HEALTH SUPPORT, AND HOW TO ACCESS IT CONFIDENTIALLY.]</w:t>
      </w:r>
    </w:p>
    <w:p>
      <w:pPr>
        <w:spacing w:after="120" w:before="60" w:line="276"/>
        <w:ind w:left="720" w:hanging="720"/>
        <w:jc w:val="both"/>
      </w:pPr>
      <w:r>
        <w:rPr>
          <w:rFonts w:ascii="Calibri" w:cs="Calibri" w:eastAsia="Calibri" w:hAnsi="Calibri"/>
          <w:sz w:val="21"/>
          <w:szCs w:val="21"/>
        </w:rPr>
        <w:t xml:space="preserve">7.5	</w:t>
      </w:r>
      <w:r>
        <w:rPr>
          <w:rFonts w:ascii="Calibri" w:cs="Calibri" w:eastAsia="Calibri" w:hAnsi="Calibri"/>
          <w:sz w:val="21"/>
          <w:szCs w:val="21"/>
        </w:rPr>
        <w:t xml:space="preserve">If a health condition or disability affects your work, tell your manager or </w:t>
      </w:r>
      <w:r>
        <w:rPr>
          <w:rFonts w:ascii="Calibri" w:cs="Calibri" w:eastAsia="Calibri" w:hAnsi="Calibri"/>
          <w:b/>
          <w:bCs/>
          <w:sz w:val="21"/>
          <w:szCs w:val="21"/>
        </w:rPr>
        <w:t xml:space="preserve">[NAME]</w:t>
      </w:r>
      <w:r>
        <w:rPr>
          <w:rFonts w:ascii="Calibri" w:cs="Calibri" w:eastAsia="Calibri" w:hAnsi="Calibri"/>
          <w:sz w:val="21"/>
          <w:szCs w:val="21"/>
        </w:rPr>
        <w:t xml:space="preserve">. We will discuss reasonable adjustments. You will not be disadvantaged for raising it.</w:t>
      </w:r>
    </w:p>
    <w:p>
      <w:pPr>
        <w:keepNext/>
        <w:spacing w:after="120" w:before="280"/>
        <w:outlineLvl w:val="0"/>
      </w:pPr>
      <w:r>
        <w:rPr>
          <w:rFonts w:ascii="Calibri" w:cs="Calibri" w:eastAsia="Calibri" w:hAnsi="Calibri"/>
          <w:b/>
          <w:bCs/>
          <w:color w:val="14161B"/>
          <w:sz w:val="22"/>
          <w:szCs w:val="22"/>
        </w:rPr>
        <w:t xml:space="preserve">8. WORKING OVERSEAS AND TRAVEL</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Business travel must be approved in advance and booked in accordance with the travel policy.</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Working from outside Singapore, even temporarily, can create tax, work pass, social security and data protection consequences for you and the Company. </w:t>
      </w:r>
      <w:r>
        <w:rPr>
          <w:rFonts w:ascii="Calibri" w:cs="Calibri" w:eastAsia="Calibri" w:hAnsi="Calibri"/>
          <w:b/>
          <w:bCs/>
          <w:sz w:val="21"/>
          <w:szCs w:val="21"/>
        </w:rPr>
        <w:t xml:space="preserve">Obtain written approval before working from another country</w:t>
      </w:r>
      <w:r>
        <w:rPr>
          <w:rFonts w:ascii="Calibri" w:cs="Calibri" w:eastAsia="Calibri" w:hAnsi="Calibri"/>
          <w:sz w:val="21"/>
          <w:szCs w:val="21"/>
        </w:rPr>
        <w:t xml:space="preserve">, however briefly.</w:t>
      </w:r>
    </w:p>
    <w:p>
      <w:pPr>
        <w:keepNext/>
        <w:spacing w:after="120" w:before="280"/>
        <w:outlineLvl w:val="0"/>
      </w:pPr>
      <w:r>
        <w:rPr>
          <w:rFonts w:ascii="Calibri" w:cs="Calibri" w:eastAsia="Calibri" w:hAnsi="Calibri"/>
          <w:b/>
          <w:bCs/>
          <w:color w:val="14161B"/>
          <w:sz w:val="22"/>
          <w:szCs w:val="22"/>
        </w:rPr>
        <w:t xml:space="preserve">9. LEAVING</w:t>
      </w:r>
    </w:p>
    <w:p>
      <w:pPr>
        <w:spacing w:after="120" w:before="60" w:line="276"/>
        <w:ind w:left="720" w:hanging="720"/>
        <w:jc w:val="both"/>
      </w:pPr>
      <w:r>
        <w:rPr>
          <w:rFonts w:ascii="Calibri" w:cs="Calibri" w:eastAsia="Calibri" w:hAnsi="Calibri"/>
          <w:sz w:val="21"/>
          <w:szCs w:val="21"/>
        </w:rPr>
        <w:t xml:space="preserve">9.1	</w:t>
      </w:r>
      <w:r>
        <w:rPr>
          <w:rFonts w:ascii="Calibri" w:cs="Calibri" w:eastAsia="Calibri" w:hAnsi="Calibri"/>
          <w:sz w:val="21"/>
          <w:szCs w:val="21"/>
        </w:rPr>
        <w:t xml:space="preserve">Notice periods are stated in your key employment terms.</w:t>
      </w:r>
    </w:p>
    <w:p>
      <w:pPr>
        <w:spacing w:after="120" w:before="60" w:line="276"/>
        <w:ind w:left="720" w:hanging="720"/>
        <w:jc w:val="both"/>
      </w:pPr>
      <w:r>
        <w:rPr>
          <w:rFonts w:ascii="Calibri" w:cs="Calibri" w:eastAsia="Calibri" w:hAnsi="Calibri"/>
          <w:sz w:val="21"/>
          <w:szCs w:val="21"/>
        </w:rPr>
        <w:t xml:space="preserve">9.2	</w:t>
      </w:r>
      <w:r>
        <w:rPr>
          <w:rFonts w:ascii="Calibri" w:cs="Calibri" w:eastAsia="Calibri" w:hAnsi="Calibri"/>
          <w:sz w:val="21"/>
          <w:szCs w:val="21"/>
        </w:rPr>
        <w:t xml:space="preserve">Final payment is made on your last day where the Company terminates; within three working days where you resign and serve notice; within seven days where you resign without notice.</w:t>
      </w:r>
    </w:p>
    <w:p>
      <w:pPr>
        <w:spacing w:after="120" w:before="60" w:line="276"/>
        <w:ind w:left="720" w:hanging="720"/>
        <w:jc w:val="both"/>
      </w:pPr>
      <w:r>
        <w:rPr>
          <w:rFonts w:ascii="Calibri" w:cs="Calibri" w:eastAsia="Calibri" w:hAnsi="Calibri"/>
          <w:sz w:val="21"/>
          <w:szCs w:val="21"/>
        </w:rPr>
        <w:t xml:space="preserve">9.3	</w:t>
      </w:r>
      <w:r>
        <w:rPr>
          <w:rFonts w:ascii="Calibri" w:cs="Calibri" w:eastAsia="Calibri" w:hAnsi="Calibri"/>
          <w:sz w:val="21"/>
          <w:szCs w:val="21"/>
        </w:rPr>
        <w:t xml:space="preserve">Where you are not a Singapore citizen, the Company is required to complete </w:t>
      </w:r>
      <w:r>
        <w:rPr>
          <w:rFonts w:ascii="Calibri" w:cs="Calibri" w:eastAsia="Calibri" w:hAnsi="Calibri"/>
          <w:b/>
          <w:bCs/>
          <w:sz w:val="21"/>
          <w:szCs w:val="21"/>
        </w:rPr>
        <w:t xml:space="preserve">tax clearance</w:t>
      </w:r>
      <w:r>
        <w:rPr>
          <w:rFonts w:ascii="Calibri" w:cs="Calibri" w:eastAsia="Calibri" w:hAnsi="Calibri"/>
          <w:sz w:val="21"/>
          <w:szCs w:val="21"/>
        </w:rPr>
        <w:t xml:space="preserve"> and to withhold sums due to you until a clearance directive is received.</w:t>
      </w:r>
    </w:p>
    <w:p>
      <w:pPr>
        <w:spacing w:after="120" w:before="60" w:line="276"/>
        <w:ind w:left="720" w:hanging="720"/>
        <w:jc w:val="both"/>
      </w:pPr>
      <w:r>
        <w:rPr>
          <w:rFonts w:ascii="Calibri" w:cs="Calibri" w:eastAsia="Calibri" w:hAnsi="Calibri"/>
          <w:sz w:val="21"/>
          <w:szCs w:val="21"/>
        </w:rPr>
        <w:t xml:space="preserve">9.4	</w:t>
      </w:r>
      <w:r>
        <w:rPr>
          <w:rFonts w:ascii="Calibri" w:cs="Calibri" w:eastAsia="Calibri" w:hAnsi="Calibri"/>
          <w:sz w:val="21"/>
          <w:szCs w:val="21"/>
        </w:rPr>
        <w:t xml:space="preserve">A certificate of service is available on request.</w:t>
      </w:r>
    </w:p>
    <w:p>
      <w:pPr>
        <w:spacing w:after="120" w:before="60" w:line="276"/>
        <w:ind w:left="720" w:hanging="720"/>
        <w:jc w:val="both"/>
      </w:pPr>
      <w:r>
        <w:rPr>
          <w:rFonts w:ascii="Calibri" w:cs="Calibri" w:eastAsia="Calibri" w:hAnsi="Calibri"/>
          <w:sz w:val="21"/>
          <w:szCs w:val="21"/>
        </w:rPr>
        <w:t xml:space="preserve">9.5	</w:t>
      </w:r>
      <w:r>
        <w:rPr>
          <w:rFonts w:ascii="Calibri" w:cs="Calibri" w:eastAsia="Calibri" w:hAnsi="Calibri"/>
          <w:sz w:val="21"/>
          <w:szCs w:val="21"/>
        </w:rPr>
        <w:t xml:space="preserve">Obligations of confidentiality, and any restrictive covenants in your contract, continue after your employment ends.</w:t>
      </w:r>
    </w:p>
    <w:p>
      <w:pPr>
        <w:keepNext/>
        <w:spacing w:after="120" w:before="280"/>
        <w:outlineLvl w:val="0"/>
      </w:pPr>
      <w:r>
        <w:rPr>
          <w:rFonts w:ascii="Calibri" w:cs="Calibri" w:eastAsia="Calibri" w:hAnsi="Calibri"/>
          <w:b/>
          <w:bCs/>
          <w:color w:val="14161B"/>
          <w:sz w:val="22"/>
          <w:szCs w:val="22"/>
        </w:rPr>
        <w:t xml:space="preserve">10. RETIREMENT AND RE-EMPLOYMENT</w:t>
      </w:r>
    </w:p>
    <w:p>
      <w:pPr>
        <w:spacing w:after="120" w:before="60" w:line="276"/>
        <w:ind w:left="720" w:hanging="720"/>
        <w:jc w:val="both"/>
      </w:pPr>
      <w:r>
        <w:rPr>
          <w:rFonts w:ascii="Calibri" w:cs="Calibri" w:eastAsia="Calibri" w:hAnsi="Calibri"/>
          <w:sz w:val="21"/>
          <w:szCs w:val="21"/>
        </w:rPr>
        <w:t xml:space="preserve">10.1	</w:t>
      </w:r>
      <w:r>
        <w:rPr>
          <w:rFonts w:ascii="Calibri" w:cs="Calibri" w:eastAsia="Calibri" w:hAnsi="Calibri"/>
          <w:sz w:val="21"/>
          <w:szCs w:val="21"/>
        </w:rPr>
        <w:t xml:space="preserve">The statutory retirement age is </w:t>
      </w:r>
      <w:r>
        <w:rPr>
          <w:rFonts w:ascii="Calibri" w:cs="Calibri" w:eastAsia="Calibri" w:hAnsi="Calibri"/>
          <w:b/>
          <w:bCs/>
          <w:sz w:val="21"/>
          <w:szCs w:val="21"/>
        </w:rPr>
        <w:t xml:space="preserve">64</w:t>
      </w:r>
      <w:r>
        <w:rPr>
          <w:rFonts w:ascii="Calibri" w:cs="Calibri" w:eastAsia="Calibri" w:hAnsi="Calibri"/>
          <w:sz w:val="21"/>
          <w:szCs w:val="21"/>
        </w:rPr>
        <w:t xml:space="preserve"> and the re-employment age is </w:t>
      </w:r>
      <w:r>
        <w:rPr>
          <w:rFonts w:ascii="Calibri" w:cs="Calibri" w:eastAsia="Calibri" w:hAnsi="Calibri"/>
          <w:b/>
          <w:bCs/>
          <w:sz w:val="21"/>
          <w:szCs w:val="21"/>
        </w:rPr>
        <w:t xml:space="preserve">69</w:t>
      </w:r>
      <w:r>
        <w:rPr>
          <w:rFonts w:ascii="Calibri" w:cs="Calibri" w:eastAsia="Calibri" w:hAnsi="Calibri"/>
          <w:sz w:val="21"/>
          <w:szCs w:val="21"/>
        </w:rPr>
        <w:t xml:space="preserve">. The Company will not dismiss an eligible employee on the ground of age before the retirement age.</w:t>
      </w:r>
    </w:p>
    <w:p>
      <w:pPr>
        <w:spacing w:after="120" w:before="60" w:line="276"/>
        <w:ind w:left="720" w:hanging="720"/>
        <w:jc w:val="both"/>
      </w:pPr>
      <w:r>
        <w:rPr>
          <w:rFonts w:ascii="Calibri" w:cs="Calibri" w:eastAsia="Calibri" w:hAnsi="Calibri"/>
          <w:sz w:val="21"/>
          <w:szCs w:val="21"/>
        </w:rPr>
        <w:t xml:space="preserve">10.2	</w:t>
      </w:r>
      <w:r>
        <w:rPr>
          <w:rFonts w:ascii="Calibri" w:cs="Calibri" w:eastAsia="Calibri" w:hAnsi="Calibri"/>
          <w:sz w:val="21"/>
          <w:szCs w:val="21"/>
        </w:rPr>
        <w:t xml:space="preserve">The Company will begin discussions about re-employment at least six months before your retirement date and make an offer at least three months before it, where you are eligible.</w:t>
      </w:r>
    </w:p>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Acknowledged</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[EMPLOYEE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i/>
                <w:iCs/>
                <w:sz w:val="21"/>
                <w:szCs w:val="21"/>
              </w:rPr>
              <w:t xml:space="preserve">I confirm that I have received and read this handbook, and understand that it does not form part of my contract of employment.</w:t>
            </w:r>
          </w:p>
          <w:p>
            <w:pPr>
              <w:spacing w:after="90" w:line="264"/>
            </w:pPr>
          </w:p>
          <w:p>
            <w:pPr>
              <w:spacing w:after="90" w:line="264"/>
            </w:pPr>
          </w:p>
          <w:p>
            <w:pPr>
              <w:spacing w:after="90" w:line="264"/>
            </w:pPr>
          </w:p>
          <w:p>
            <w:pPr>
              <w:spacing w:after="90" w:line="264"/>
            </w:pP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Keep the handbook out of the contract</w:t>
      </w:r>
    </w:p>
    <w:p>
      <w:pPr>
        <w:spacing w:after="60" w:line="264"/>
        <w:jc w:val="both"/>
      </w:pPr>
      <w:r>
        <w:rPr>
          <w:rFonts w:ascii="Calibri" w:cs="Calibri" w:eastAsia="Calibri" w:hAnsi="Calibri"/>
          <w:sz w:val="19"/>
          <w:szCs w:val="19"/>
        </w:rPr>
        <w:t xml:space="preserve">A handbook expressed as contractual terms cannot be amended without agreement, which defeats the point of having one. The status statement at the front is the most important sentence in the document — and it must be true, which means avoiding language elsewhere that promises entitlements in contractual terms. Where something genuinely is contractual, put it in the contract.</w:t>
      </w:r>
    </w:p>
    <w:p>
      <w:pPr>
        <w:keepNext/>
        <w:spacing w:after="40" w:before="140"/>
      </w:pPr>
      <w:r>
        <w:rPr>
          <w:rFonts w:ascii="Calibri" w:cs="Calibri" w:eastAsia="Calibri" w:hAnsi="Calibri"/>
          <w:b/>
          <w:bCs/>
          <w:color w:val="14161B"/>
          <w:sz w:val="20"/>
          <w:szCs w:val="20"/>
        </w:rPr>
        <w:t xml:space="preserve">The handbook is not the key employment terms</w:t>
      </w:r>
    </w:p>
    <w:p>
      <w:pPr>
        <w:spacing w:after="60" w:line="264"/>
        <w:jc w:val="both"/>
      </w:pPr>
      <w:r>
        <w:rPr>
          <w:rFonts w:ascii="Calibri" w:cs="Calibri" w:eastAsia="Calibri" w:hAnsi="Calibri"/>
          <w:sz w:val="19"/>
          <w:szCs w:val="19"/>
        </w:rPr>
        <w:t xml:space="preserve">Prescribed particulars must be issued individually in writing within fourteen days of the employee starting work. A handbook describing general leave entitlements does not discharge that obligation, because the terms must be specific to the employee.</w:t>
      </w:r>
    </w:p>
    <w:p>
      <w:pPr>
        <w:keepNext/>
        <w:spacing w:after="40" w:before="140"/>
      </w:pPr>
      <w:r>
        <w:rPr>
          <w:rFonts w:ascii="Calibri" w:cs="Calibri" w:eastAsia="Calibri" w:hAnsi="Calibri"/>
          <w:b/>
          <w:bCs/>
          <w:color w:val="14161B"/>
          <w:sz w:val="20"/>
          <w:szCs w:val="20"/>
        </w:rPr>
        <w:t xml:space="preserve">Say which employees are covered by Part IV</w:t>
      </w:r>
    </w:p>
    <w:p>
      <w:pPr>
        <w:spacing w:after="60" w:line="264"/>
        <w:jc w:val="both"/>
      </w:pPr>
      <w:r>
        <w:rPr>
          <w:rFonts w:ascii="Calibri" w:cs="Calibri" w:eastAsia="Calibri" w:hAnsi="Calibri"/>
          <w:sz w:val="19"/>
          <w:szCs w:val="19"/>
        </w:rPr>
        <w:t xml:space="preserve">Hours, rest days and overtime under Part IV apply to workmen and to other employees below a prescribed salary, and not to managers or executives. A handbook that states overtime entitlements without explaining that coverage varies creates expectations it cannot meet. Point employees to their own key employment terms.</w:t>
      </w:r>
    </w:p>
    <w:p>
      <w:pPr>
        <w:keepNext/>
        <w:spacing w:after="40" w:before="140"/>
      </w:pPr>
      <w:r>
        <w:rPr>
          <w:rFonts w:ascii="Calibri" w:cs="Calibri" w:eastAsia="Calibri" w:hAnsi="Calibri"/>
          <w:b/>
          <w:bCs/>
          <w:color w:val="14161B"/>
          <w:sz w:val="20"/>
          <w:szCs w:val="20"/>
        </w:rPr>
        <w:t xml:space="preserve">Central Provident Fund: state the pass position</w:t>
      </w:r>
    </w:p>
    <w:p>
      <w:pPr>
        <w:spacing w:after="60" w:line="264"/>
        <w:jc w:val="both"/>
      </w:pPr>
      <w:r>
        <w:rPr>
          <w:rFonts w:ascii="Calibri" w:cs="Calibri" w:eastAsia="Calibri" w:hAnsi="Calibri"/>
          <w:sz w:val="19"/>
          <w:szCs w:val="19"/>
        </w:rPr>
        <w:t xml:space="preserve">Employees on work passes frequently expect contributions because colleagues receive them, or because they are used to an equivalent scheme elsewhere. Clause 2.3 says plainly that contributions are not payable for pass holders, which prevents a recurring and awkward payroll query.</w:t>
      </w:r>
    </w:p>
    <w:p>
      <w:pPr>
        <w:keepNext/>
        <w:spacing w:after="40" w:before="140"/>
      </w:pPr>
      <w:r>
        <w:rPr>
          <w:rFonts w:ascii="Calibri" w:cs="Calibri" w:eastAsia="Calibri" w:hAnsi="Calibri"/>
          <w:b/>
          <w:bCs/>
          <w:color w:val="14161B"/>
          <w:sz w:val="20"/>
          <w:szCs w:val="20"/>
        </w:rPr>
        <w:t xml:space="preserve">Leave entitlements changed recently</w:t>
      </w:r>
    </w:p>
    <w:p>
      <w:pPr>
        <w:spacing w:after="60" w:line="264"/>
        <w:jc w:val="both"/>
      </w:pPr>
      <w:r>
        <w:rPr>
          <w:rFonts w:ascii="Calibri" w:cs="Calibri" w:eastAsia="Calibri" w:hAnsi="Calibri"/>
          <w:sz w:val="19"/>
          <w:szCs w:val="19"/>
        </w:rPr>
        <w:t xml:space="preserve">Paternity leave became a mandatory four weeks in April 2025, and shared parental leave rose to ten weeks for children born or adopted from 1 April 2026. Handbooks drafted before those dates understate entitlements and will be read by employees as the employer’s position. Review the leave table annually.</w:t>
      </w:r>
    </w:p>
    <w:p>
      <w:pPr>
        <w:keepNext/>
        <w:spacing w:after="40" w:before="140"/>
      </w:pPr>
      <w:r>
        <w:rPr>
          <w:rFonts w:ascii="Calibri" w:cs="Calibri" w:eastAsia="Calibri" w:hAnsi="Calibri"/>
          <w:b/>
          <w:bCs/>
          <w:color w:val="14161B"/>
          <w:sz w:val="20"/>
          <w:szCs w:val="20"/>
        </w:rPr>
        <w:t xml:space="preserve">Name real people for concerns</w:t>
      </w:r>
    </w:p>
    <w:p>
      <w:pPr>
        <w:spacing w:after="60" w:line="264"/>
        <w:jc w:val="both"/>
      </w:pPr>
      <w:r>
        <w:rPr>
          <w:rFonts w:ascii="Calibri" w:cs="Calibri" w:eastAsia="Calibri" w:hAnsi="Calibri"/>
          <w:sz w:val="19"/>
          <w:szCs w:val="19"/>
        </w:rPr>
        <w:t xml:space="preserve">Clause 4.3 names two contacts. A handbook directing employees to "speak to your manager or human resources" fails at the moment it matters most — when the manager is the problem, or when there is no human resources function. Name individuals and keep the names current.</w:t>
      </w:r>
    </w:p>
    <w:p>
      <w:pPr>
        <w:keepNext/>
        <w:spacing w:after="40" w:before="140"/>
      </w:pPr>
      <w:r>
        <w:rPr>
          <w:rFonts w:ascii="Calibri" w:cs="Calibri" w:eastAsia="Calibri" w:hAnsi="Calibri"/>
          <w:b/>
          <w:bCs/>
          <w:color w:val="14161B"/>
          <w:sz w:val="20"/>
          <w:szCs w:val="20"/>
        </w:rPr>
        <w:t xml:space="preserve">Separate discipline from performance</w:t>
      </w:r>
    </w:p>
    <w:p>
      <w:pPr>
        <w:spacing w:after="60" w:line="264"/>
        <w:jc w:val="both"/>
      </w:pPr>
      <w:r>
        <w:rPr>
          <w:rFonts w:ascii="Calibri" w:cs="Calibri" w:eastAsia="Calibri" w:hAnsi="Calibri"/>
          <w:sz w:val="19"/>
          <w:szCs w:val="19"/>
        </w:rPr>
        <w:t xml:space="preserve">Clause 5.4 and 5.5 route them differently on purpose. Misconduct requires a due inquiry; performance does not. Handbooks that describe a single disciplinary ladder covering both encourage managers to run the wrong process, which is where defective dismissals begin.</w:t>
      </w:r>
    </w:p>
    <w:p>
      <w:pPr>
        <w:keepNext/>
        <w:spacing w:after="40" w:before="140"/>
      </w:pPr>
      <w:r>
        <w:rPr>
          <w:rFonts w:ascii="Calibri" w:cs="Calibri" w:eastAsia="Calibri" w:hAnsi="Calibri"/>
          <w:b/>
          <w:bCs/>
          <w:color w:val="14161B"/>
          <w:sz w:val="20"/>
          <w:szCs w:val="20"/>
        </w:rPr>
        <w:t xml:space="preserve">Disclose monitoring, or do not monitor</w:t>
      </w:r>
    </w:p>
    <w:p>
      <w:pPr>
        <w:spacing w:after="60" w:line="264"/>
        <w:jc w:val="both"/>
      </w:pPr>
      <w:r>
        <w:rPr>
          <w:rFonts w:ascii="Calibri" w:cs="Calibri" w:eastAsia="Calibri" w:hAnsi="Calibri"/>
          <w:sz w:val="19"/>
          <w:szCs w:val="19"/>
        </w:rPr>
        <w:t xml:space="preserve">Clause 6.5 requires the monitoring position to be stated. Monitoring employee systems, email or location without disclosure is a data protection problem as well as a trust problem. Decide what is actually monitored, say so, and do not monitor beyond it.</w:t>
      </w:r>
    </w:p>
    <w:p>
      <w:pPr>
        <w:keepNext/>
        <w:spacing w:after="40" w:before="140"/>
      </w:pPr>
      <w:r>
        <w:rPr>
          <w:rFonts w:ascii="Calibri" w:cs="Calibri" w:eastAsia="Calibri" w:hAnsi="Calibri"/>
          <w:b/>
          <w:bCs/>
          <w:color w:val="14161B"/>
          <w:sz w:val="20"/>
          <w:szCs w:val="20"/>
        </w:rPr>
        <w:t xml:space="preserve">Report breaches first, investigate second</w:t>
      </w:r>
    </w:p>
    <w:p>
      <w:pPr>
        <w:spacing w:after="60" w:line="264"/>
        <w:jc w:val="both"/>
      </w:pPr>
      <w:r>
        <w:rPr>
          <w:rFonts w:ascii="Calibri" w:cs="Calibri" w:eastAsia="Calibri" w:hAnsi="Calibri"/>
          <w:sz w:val="19"/>
          <w:szCs w:val="19"/>
        </w:rPr>
        <w:t xml:space="preserve">Clause 6.3 instructs employees not to attempt a fix before reporting. The costliest delays come from a well-meaning employee trying to resolve a breach quietly, which loses containment time and often destroys the evidence. The notification clock is short.</w:t>
      </w:r>
    </w:p>
    <w:p>
      <w:pPr>
        <w:keepNext/>
        <w:spacing w:after="40" w:before="140"/>
      </w:pPr>
      <w:r>
        <w:rPr>
          <w:rFonts w:ascii="Calibri" w:cs="Calibri" w:eastAsia="Calibri" w:hAnsi="Calibri"/>
          <w:b/>
          <w:bCs/>
          <w:color w:val="14161B"/>
          <w:sz w:val="20"/>
          <w:szCs w:val="20"/>
        </w:rPr>
        <w:t xml:space="preserve">Working from abroad is not a neutral act</w:t>
      </w:r>
    </w:p>
    <w:p>
      <w:pPr>
        <w:spacing w:after="60" w:line="264"/>
        <w:jc w:val="both"/>
      </w:pPr>
      <w:r>
        <w:rPr>
          <w:rFonts w:ascii="Calibri" w:cs="Calibri" w:eastAsia="Calibri" w:hAnsi="Calibri"/>
          <w:sz w:val="19"/>
          <w:szCs w:val="19"/>
        </w:rPr>
        <w:t xml:space="preserve">Clause 8.2 exists because remote work from another country can create permanent establishment risk, personal tax liability, work pass complications and cross-border data transfer issues. Requiring written approval, even for short periods, prevents problems that are difficult to unwind.</w:t>
      </w:r>
    </w:p>
    <w:p>
      <w:pPr>
        <w:keepNext/>
        <w:spacing w:after="40" w:before="140"/>
      </w:pPr>
      <w:r>
        <w:rPr>
          <w:rFonts w:ascii="Calibri" w:cs="Calibri" w:eastAsia="Calibri" w:hAnsi="Calibri"/>
          <w:b/>
          <w:bCs/>
          <w:color w:val="14161B"/>
          <w:sz w:val="20"/>
          <w:szCs w:val="20"/>
        </w:rPr>
        <w:t xml:space="preserve">Invite disclosure of health conditions</w:t>
      </w:r>
    </w:p>
    <w:p>
      <w:pPr>
        <w:spacing w:after="60" w:line="264"/>
        <w:jc w:val="both"/>
      </w:pPr>
      <w:r>
        <w:rPr>
          <w:rFonts w:ascii="Calibri" w:cs="Calibri" w:eastAsia="Calibri" w:hAnsi="Calibri"/>
          <w:sz w:val="19"/>
          <w:szCs w:val="19"/>
        </w:rPr>
        <w:t xml:space="preserve">Clause 7.5 invites employees to raise conditions affecting work and promises no disadvantage. Disability and mental health conditions are protected characteristics under the Workplace Fairness Act, which will commence at the end of 2027. An employer that never hears about a condition cannot make an adjustment, and then faces the consequences of a performance process run over an unaddressed issue.</w:t>
      </w:r>
    </w:p>
    <w:p>
      <w:pPr>
        <w:keepNext/>
        <w:spacing w:after="40" w:before="140"/>
      </w:pPr>
      <w:r>
        <w:rPr>
          <w:rFonts w:ascii="Calibri" w:cs="Calibri" w:eastAsia="Calibri" w:hAnsi="Calibri"/>
          <w:b/>
          <w:bCs/>
          <w:color w:val="14161B"/>
          <w:sz w:val="20"/>
          <w:szCs w:val="20"/>
        </w:rPr>
        <w:t xml:space="preserve">Update the retirement ages</w:t>
      </w:r>
    </w:p>
    <w:p>
      <w:pPr>
        <w:spacing w:after="60" w:line="264"/>
        <w:jc w:val="both"/>
      </w:pPr>
      <w:r>
        <w:rPr>
          <w:rFonts w:ascii="Calibri" w:cs="Calibri" w:eastAsia="Calibri" w:hAnsi="Calibri"/>
          <w:sz w:val="19"/>
          <w:szCs w:val="19"/>
        </w:rPr>
        <w:t xml:space="preserve">Retirement rose to 64 and re-employment to 69 with effect from 1 July 2026, with further increases scheduled. Handbooks still stating 63 and 68 are among the most commonly out-of-date documents in circulation.</w:t>
      </w:r>
    </w:p>
    <w:p>
      <w:pPr>
        <w:keepNext/>
        <w:spacing w:after="40" w:before="140"/>
      </w:pPr>
      <w:r>
        <w:rPr>
          <w:rFonts w:ascii="Calibri" w:cs="Calibri" w:eastAsia="Calibri" w:hAnsi="Calibri"/>
          <w:b/>
          <w:bCs/>
          <w:color w:val="14161B"/>
          <w:sz w:val="20"/>
          <w:szCs w:val="20"/>
        </w:rPr>
        <w:t xml:space="preserve">Get the acknowledgement, and reissue on change</w:t>
      </w:r>
    </w:p>
    <w:p>
      <w:pPr>
        <w:spacing w:after="60" w:line="264"/>
        <w:jc w:val="both"/>
      </w:pPr>
      <w:r>
        <w:rPr>
          <w:rFonts w:ascii="Calibri" w:cs="Calibri" w:eastAsia="Calibri" w:hAnsi="Calibri"/>
          <w:sz w:val="19"/>
          <w:szCs w:val="19"/>
        </w:rPr>
        <w:t xml:space="preserve">The signed acknowledgement matters chiefly to evidence the non-contractual status. Reissue and re-acknowledge when the handbook changes materially, rather than relying on a signature against a version from several years ago.</w:t>
      </w:r>
    </w:p>
    <w:p>
      <w:pPr>
        <w:keepNext/>
        <w:spacing w:after="40" w:before="140"/>
      </w:pPr>
      <w:r>
        <w:rPr>
          <w:rFonts w:ascii="Calibri" w:cs="Calibri" w:eastAsia="Calibri" w:hAnsi="Calibri"/>
          <w:b/>
          <w:bCs/>
          <w:color w:val="14161B"/>
          <w:sz w:val="20"/>
          <w:szCs w:val="20"/>
        </w:rPr>
        <w:t xml:space="preserve">Do not put the whole rulebook in one document</w:t>
      </w:r>
    </w:p>
    <w:p>
      <w:pPr>
        <w:spacing w:after="60" w:line="264"/>
        <w:jc w:val="both"/>
      </w:pPr>
      <w:r>
        <w:rPr>
          <w:rFonts w:ascii="Calibri" w:cs="Calibri" w:eastAsia="Calibri" w:hAnsi="Calibri"/>
          <w:sz w:val="19"/>
          <w:szCs w:val="19"/>
        </w:rPr>
        <w:t xml:space="preserve">The handbook should point to the workplace fairness and grievance policy, the anti-harassment policy, the flexible work policy, the data protection policy and the due inquiry procedure rather than reproducing them. Duplicated text drifts out of alignment, and the two versions then contradict each other.</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Leave entitlements, Central Provident Fund rates, Part IV thresholds, retirement and re-employment ages and the pending Workplace Fairness Act all change, and a review of the Employment Act is under way with proposals expected in the second half of 2026 — review this handbook annually with an employment adviser.</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2026-08-22T06:55:29.338Z</dcterms:created>
  <dcterms:modified xsi:type="dcterms:W3CDTF">2026-08-22T06:55:29.338Z</dcterms:modified>
</cp:coreProperties>
</file>

<file path=docProps/custom.xml><?xml version="1.0" encoding="utf-8"?>
<Properties xmlns="http://schemas.openxmlformats.org/officeDocument/2006/custom-properties" xmlns:vt="http://schemas.openxmlformats.org/officeDocument/2006/docPropsVTypes"/>
</file>