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DUE INQUIRY PROCEDURE</w:t>
      </w:r>
    </w:p>
    <w:p>
      <w:pPr>
        <w:spacing w:after="260"/>
        <w:jc w:val="center"/>
      </w:pPr>
      <w:r>
        <w:rPr>
          <w:rFonts w:ascii="Calibri" w:cs="Calibri" w:eastAsia="Calibri" w:hAnsi="Calibri"/>
          <w:i/>
          <w:iCs/>
          <w:color w:val="6E7480"/>
          <w:sz w:val="19"/>
          <w:szCs w:val="19"/>
        </w:rPr>
        <w:t xml:space="preserve">Investigating misconduct before dismissal or downgrading</w:t>
      </w:r>
    </w:p>
    <w:p>
      <w:pPr>
        <w:spacing w:after="180" w:before="0" w:line="276"/>
        <w:jc w:val="both"/>
      </w:pPr>
      <w:r>
        <w:rPr>
          <w:rFonts w:ascii="Calibri" w:cs="Calibri" w:eastAsia="Calibri" w:hAnsi="Calibri"/>
          <w:i/>
          <w:iCs/>
          <w:color w:val="6E7480"/>
          <w:sz w:val="21"/>
          <w:szCs w:val="21"/>
        </w:rPr>
        <w:t xml:space="preserve">The Employment Act permits dismissal for misconduct only after a due inquiry. There is no prescribed procedure, which misleads employers into thinking there is no standard — there is. The inquiry must be genuinely fair, and a dismissal without one is the most common foundation for a wrongful dismissal claim at the Employment Claims Tribunal.</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[JOB TITLE]</w:t>
            </w:r>
            <w:r>
              <w:rPr>
                <w:rFonts w:ascii="Calibri" w:cs="Calibri" w:eastAsia="Calibri" w:hAnsi="Calibri"/>
                <w:sz w:val="19"/>
                <w:szCs w:val="19"/>
              </w:rPr>
              <w:t xml:space="preserve">, employee number </w:t>
            </w:r>
            <w:r>
              <w:rPr>
                <w:rFonts w:ascii="Calibri" w:cs="Calibri" w:eastAsia="Calibri" w:hAnsi="Calibri"/>
                <w:b/>
                <w:bCs/>
                <w:sz w:val="19"/>
                <w:szCs w:val="19"/>
              </w:rPr>
              <w:t xml:space="preserve">[NUMBER]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Allegation, in summary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[ONE SENTENCE]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the allegation came to the Company’s attention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Inquiry officer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Complainant or reporting person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Suspension pending inquiry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from ______ / No]</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Target completion date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PURPOSE AND SCOPE</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This procedure applies where the Company is considering dismissal, downgrading or suspension of an employee on the ground of misconduct.</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Its purpose is to establish the facts fairly before any decision is taken, and to ensure that the employee knows the allegation and has a genuine opportunity to answer it.</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This procedure does not apply to performance shortfalls, which are dealt with under the Company’s performance management process, or to complaints of harassment, which are dealt with under the anti-harassment policy. Where conduct falls into more than one category, the employee will be told which process applies and why.</w:t>
      </w:r>
    </w:p>
    <w:p>
      <w:pPr>
        <w:keepNext/>
        <w:spacing w:after="120" w:before="280"/>
        <w:outlineLvl w:val="0"/>
      </w:pPr>
      <w:r>
        <w:rPr>
          <w:rFonts w:ascii="Calibri" w:cs="Calibri" w:eastAsia="Calibri" w:hAnsi="Calibri"/>
          <w:b/>
          <w:bCs/>
          <w:color w:val="14161B"/>
          <w:sz w:val="22"/>
          <w:szCs w:val="22"/>
        </w:rPr>
        <w:t xml:space="preserve">2. PRINCIPLES</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No employee will be dismissed, downgraded or suspended for misconduct without a due inquiry.</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The employee will be informed of the allegation in sufficient detail to answer it, including what is said to have happened, when, and why it is said to amount to misconduct.</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The employee will be given a genuine opportunity to respond, to present their account, to ask questions of the evidence relied on, and to produce evidence or name witnesses.</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The person conducting the inquiry will not be the complainant, a witness to the events, or a person with a personal interest in the outcome.</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sz w:val="21"/>
          <w:szCs w:val="21"/>
        </w:rPr>
        <w:t xml:space="preserve">The employee may be accompanied at any inquiry meeting by a colleague or a union representative.</w:t>
      </w:r>
    </w:p>
    <w:p>
      <w:pPr>
        <w:spacing w:after="120" w:before="60" w:line="276"/>
        <w:ind w:left="720" w:hanging="720"/>
        <w:jc w:val="both"/>
      </w:pPr>
      <w:r>
        <w:rPr>
          <w:rFonts w:ascii="Calibri" w:cs="Calibri" w:eastAsia="Calibri" w:hAnsi="Calibri"/>
          <w:sz w:val="21"/>
          <w:szCs w:val="21"/>
        </w:rPr>
        <w:t xml:space="preserve">2.6	</w:t>
      </w:r>
      <w:r>
        <w:rPr>
          <w:rFonts w:ascii="Calibri" w:cs="Calibri" w:eastAsia="Calibri" w:hAnsi="Calibri"/>
          <w:sz w:val="21"/>
          <w:szCs w:val="21"/>
        </w:rPr>
        <w:t xml:space="preserve">The inquiry will be completed as promptly as the circumstances allow.</w:t>
      </w:r>
    </w:p>
    <w:p>
      <w:pPr>
        <w:spacing w:after="120" w:before="60" w:line="276"/>
        <w:ind w:left="720" w:hanging="720"/>
        <w:jc w:val="both"/>
      </w:pPr>
      <w:r>
        <w:rPr>
          <w:rFonts w:ascii="Calibri" w:cs="Calibri" w:eastAsia="Calibri" w:hAnsi="Calibri"/>
          <w:sz w:val="21"/>
          <w:szCs w:val="21"/>
        </w:rPr>
        <w:t xml:space="preserve">2.7	</w:t>
      </w:r>
      <w:r>
        <w:rPr>
          <w:rFonts w:ascii="Calibri" w:cs="Calibri" w:eastAsia="Calibri" w:hAnsi="Calibri"/>
          <w:sz w:val="21"/>
          <w:szCs w:val="21"/>
        </w:rPr>
        <w:t xml:space="preserve">The decision will be based on the evidence gathered, and the reasons will be recorded.</w:t>
      </w:r>
    </w:p>
    <w:p>
      <w:pPr>
        <w:spacing w:after="120" w:before="60" w:line="276"/>
        <w:ind w:left="720" w:hanging="720"/>
        <w:jc w:val="both"/>
      </w:pPr>
      <w:r>
        <w:rPr>
          <w:rFonts w:ascii="Calibri" w:cs="Calibri" w:eastAsia="Calibri" w:hAnsi="Calibri"/>
          <w:sz w:val="21"/>
          <w:szCs w:val="21"/>
        </w:rPr>
        <w:t xml:space="preserve">2.8	</w:t>
      </w:r>
      <w:r>
        <w:rPr>
          <w:rFonts w:ascii="Calibri" w:cs="Calibri" w:eastAsia="Calibri" w:hAnsi="Calibri"/>
          <w:sz w:val="21"/>
          <w:szCs w:val="21"/>
        </w:rPr>
        <w:t xml:space="preserve">The employee will be informed of the outcome in writing and of any right of appeal.</w:t>
      </w:r>
    </w:p>
    <w:p>
      <w:pPr>
        <w:keepNext/>
        <w:spacing w:after="120" w:before="280"/>
        <w:outlineLvl w:val="0"/>
      </w:pPr>
      <w:r>
        <w:rPr>
          <w:rFonts w:ascii="Calibri" w:cs="Calibri" w:eastAsia="Calibri" w:hAnsi="Calibri"/>
          <w:b/>
          <w:bCs/>
          <w:color w:val="14161B"/>
          <w:sz w:val="22"/>
          <w:szCs w:val="22"/>
        </w:rPr>
        <w:t xml:space="preserve">3. SUSPENSION PENDING INQUIRY</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Company may suspend an employee from work pending a due inquiry where it is necessary to do so, for example to preserve evidence, to protect other employees, or where the employee’s continued presence would prejudice the inquiry.</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b/>
          <w:bCs/>
          <w:sz w:val="21"/>
          <w:szCs w:val="21"/>
        </w:rPr>
        <w:t xml:space="preserve">Suspension may not exceed one week</w:t>
      </w:r>
      <w:r>
        <w:rPr>
          <w:rFonts w:ascii="Calibri" w:cs="Calibri" w:eastAsia="Calibri" w:hAnsi="Calibri"/>
          <w:sz w:val="21"/>
          <w:szCs w:val="21"/>
        </w:rPr>
        <w:t xml:space="preserve">, and the employee must be paid </w:t>
      </w:r>
      <w:r>
        <w:rPr>
          <w:rFonts w:ascii="Calibri" w:cs="Calibri" w:eastAsia="Calibri" w:hAnsi="Calibri"/>
          <w:b/>
          <w:bCs/>
          <w:sz w:val="21"/>
          <w:szCs w:val="21"/>
        </w:rPr>
        <w:t xml:space="preserve">not less than half</w:t>
      </w:r>
      <w:r>
        <w:rPr>
          <w:rFonts w:ascii="Calibri" w:cs="Calibri" w:eastAsia="Calibri" w:hAnsi="Calibri"/>
          <w:sz w:val="21"/>
          <w:szCs w:val="21"/>
        </w:rPr>
        <w:t xml:space="preserve"> of their salary during it.</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Where the inquiry does </w:t>
      </w:r>
      <w:r>
        <w:rPr>
          <w:rFonts w:ascii="Calibri" w:cs="Calibri" w:eastAsia="Calibri" w:hAnsi="Calibri"/>
          <w:b/>
          <w:bCs/>
          <w:sz w:val="21"/>
          <w:szCs w:val="21"/>
        </w:rPr>
        <w:t xml:space="preserve">not</w:t>
      </w:r>
      <w:r>
        <w:rPr>
          <w:rFonts w:ascii="Calibri" w:cs="Calibri" w:eastAsia="Calibri" w:hAnsi="Calibri"/>
          <w:sz w:val="21"/>
          <w:szCs w:val="21"/>
        </w:rPr>
        <w:t xml:space="preserve"> establish misconduct, the Company shall </w:t>
      </w:r>
      <w:r>
        <w:rPr>
          <w:rFonts w:ascii="Calibri" w:cs="Calibri" w:eastAsia="Calibri" w:hAnsi="Calibri"/>
          <w:b/>
          <w:bCs/>
          <w:sz w:val="21"/>
          <w:szCs w:val="21"/>
        </w:rPr>
        <w:t xml:space="preserve">restore the withheld amount in full</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Suspension is not a penalty and does not imply guilt. It will be communicated in neutral terms, and its scope will be limited to what is necessary.</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sz w:val="21"/>
          <w:szCs w:val="21"/>
        </w:rPr>
        <w:t xml:space="preserve">Where the inquiry cannot be completed within one week, the employee is to be returned to duty or placed on paid leave, not kept on suspended pay.</w:t>
      </w:r>
    </w:p>
    <w:p>
      <w:pPr>
        <w:keepNext/>
        <w:spacing w:after="120" w:before="280"/>
        <w:outlineLvl w:val="0"/>
      </w:pPr>
      <w:r>
        <w:rPr>
          <w:rFonts w:ascii="Calibri" w:cs="Calibri" w:eastAsia="Calibri" w:hAnsi="Calibri"/>
          <w:b/>
          <w:bCs/>
          <w:color w:val="14161B"/>
          <w:sz w:val="22"/>
          <w:szCs w:val="22"/>
        </w:rPr>
        <w:t xml:space="preserve">4. PROCEDURE</w:t>
      </w:r>
    </w:p>
    <w:p>
      <w:pPr>
        <w:keepNext/>
        <w:spacing w:after="100" w:before="200"/>
        <w:outlineLvl w:val="1"/>
      </w:pPr>
      <w:r>
        <w:rPr>
          <w:rFonts w:ascii="Calibri" w:cs="Calibri" w:eastAsia="Calibri" w:hAnsi="Calibri"/>
          <w:b/>
          <w:bCs/>
          <w:color w:val="14161B"/>
          <w:sz w:val="21"/>
          <w:szCs w:val="21"/>
        </w:rPr>
        <w:t xml:space="preserve">Step 1 — Preliminary assessment</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On receiving a report, the Company will make a preliminary assessment of whether there is a case to answer. This is not the inquiry and no finding is made at this stage. Where the matter is trivial, or better addressed by guidance, it will be dealt with informally and recorded as such.</w:t>
      </w:r>
    </w:p>
    <w:p>
      <w:pPr>
        <w:keepNext/>
        <w:spacing w:after="100" w:before="200"/>
        <w:outlineLvl w:val="1"/>
      </w:pPr>
      <w:r>
        <w:rPr>
          <w:rFonts w:ascii="Calibri" w:cs="Calibri" w:eastAsia="Calibri" w:hAnsi="Calibri"/>
          <w:b/>
          <w:bCs/>
          <w:color w:val="14161B"/>
          <w:sz w:val="21"/>
          <w:szCs w:val="21"/>
        </w:rPr>
        <w:t xml:space="preserve">Step 2 — Notice of allegation</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The employee will be given written notice setting out the allegation with sufficient particulars, the provision of the code of conduct or contract said to have been breached, the documents relied on, the date, time and place of the inquiry meeting, the right to be accompanied, and the possible outcomes.</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The employee will be given a reasonable period, and not less than </w:t>
      </w:r>
      <w:r>
        <w:rPr>
          <w:rFonts w:ascii="Calibri" w:cs="Calibri" w:eastAsia="Calibri" w:hAnsi="Calibri"/>
          <w:b/>
          <w:bCs/>
          <w:sz w:val="21"/>
          <w:szCs w:val="21"/>
        </w:rPr>
        <w:t xml:space="preserve">[2]</w:t>
      </w:r>
      <w:r>
        <w:rPr>
          <w:rFonts w:ascii="Calibri" w:cs="Calibri" w:eastAsia="Calibri" w:hAnsi="Calibri"/>
          <w:sz w:val="21"/>
          <w:szCs w:val="21"/>
        </w:rPr>
        <w:t xml:space="preserve"> working days, to prepare.</w:t>
      </w:r>
    </w:p>
    <w:p>
      <w:pPr>
        <w:keepNext/>
        <w:spacing w:after="100" w:before="200"/>
        <w:outlineLvl w:val="1"/>
      </w:pPr>
      <w:r>
        <w:rPr>
          <w:rFonts w:ascii="Calibri" w:cs="Calibri" w:eastAsia="Calibri" w:hAnsi="Calibri"/>
          <w:b/>
          <w:bCs/>
          <w:color w:val="14161B"/>
          <w:sz w:val="21"/>
          <w:szCs w:val="21"/>
        </w:rPr>
        <w:t xml:space="preserve">Step 3 — The inquiry meeting</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At the meeting the inquiry officer will put the allegation and the evidence to the employee, and the employee will be invited to respond, to give their account, to comment on the evidence, and to identify any witness or document they wish considered.</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sz w:val="21"/>
          <w:szCs w:val="21"/>
        </w:rPr>
        <w:t xml:space="preserve">Where the employee identifies a relevant witness or document, the inquiry officer will consider it and, where reasonable, obtain it, adjourning if necessary.</w:t>
      </w:r>
    </w:p>
    <w:p>
      <w:pPr>
        <w:spacing w:after="120" w:before="60" w:line="276"/>
        <w:ind w:left="720" w:hanging="720"/>
        <w:jc w:val="both"/>
      </w:pPr>
      <w:r>
        <w:rPr>
          <w:rFonts w:ascii="Calibri" w:cs="Calibri" w:eastAsia="Calibri" w:hAnsi="Calibri"/>
          <w:sz w:val="21"/>
          <w:szCs w:val="21"/>
        </w:rPr>
        <w:t xml:space="preserve">4.6	</w:t>
      </w:r>
      <w:r>
        <w:rPr>
          <w:rFonts w:ascii="Calibri" w:cs="Calibri" w:eastAsia="Calibri" w:hAnsi="Calibri"/>
          <w:sz w:val="21"/>
          <w:szCs w:val="21"/>
        </w:rPr>
        <w:t xml:space="preserve">A written record of the meeting will be made. The employee will be given a copy and an opportunity to correct it.</w:t>
      </w:r>
    </w:p>
    <w:p>
      <w:pPr>
        <w:keepNext/>
        <w:spacing w:after="100" w:before="200"/>
        <w:outlineLvl w:val="1"/>
      </w:pPr>
      <w:r>
        <w:rPr>
          <w:rFonts w:ascii="Calibri" w:cs="Calibri" w:eastAsia="Calibri" w:hAnsi="Calibri"/>
          <w:b/>
          <w:bCs/>
          <w:color w:val="14161B"/>
          <w:sz w:val="21"/>
          <w:szCs w:val="21"/>
        </w:rPr>
        <w:t xml:space="preserve">Step 4 — Findings</w:t>
      </w:r>
    </w:p>
    <w:p>
      <w:pPr>
        <w:spacing w:after="120" w:before="60" w:line="276"/>
        <w:ind w:left="720" w:hanging="720"/>
        <w:jc w:val="both"/>
      </w:pPr>
      <w:r>
        <w:rPr>
          <w:rFonts w:ascii="Calibri" w:cs="Calibri" w:eastAsia="Calibri" w:hAnsi="Calibri"/>
          <w:sz w:val="21"/>
          <w:szCs w:val="21"/>
        </w:rPr>
        <w:t xml:space="preserve">4.7	</w:t>
      </w:r>
      <w:r>
        <w:rPr>
          <w:rFonts w:ascii="Calibri" w:cs="Calibri" w:eastAsia="Calibri" w:hAnsi="Calibri"/>
          <w:sz w:val="21"/>
          <w:szCs w:val="21"/>
        </w:rPr>
        <w:t xml:space="preserve">The inquiry officer will make findings on each allegation, on the balance of probabilities, stating the evidence relied on and the reasons.</w:t>
      </w:r>
    </w:p>
    <w:p>
      <w:pPr>
        <w:spacing w:after="120" w:before="60" w:line="276"/>
        <w:ind w:left="720" w:hanging="720"/>
        <w:jc w:val="both"/>
      </w:pPr>
      <w:r>
        <w:rPr>
          <w:rFonts w:ascii="Calibri" w:cs="Calibri" w:eastAsia="Calibri" w:hAnsi="Calibri"/>
          <w:sz w:val="21"/>
          <w:szCs w:val="21"/>
        </w:rPr>
        <w:t xml:space="preserve">4.8	</w:t>
      </w:r>
      <w:r>
        <w:rPr>
          <w:rFonts w:ascii="Calibri" w:cs="Calibri" w:eastAsia="Calibri" w:hAnsi="Calibri"/>
          <w:sz w:val="21"/>
          <w:szCs w:val="21"/>
        </w:rPr>
        <w:t xml:space="preserve">Where an allegation is not established, that will be recorded and no adverse consequence will follow from it.</w:t>
      </w:r>
    </w:p>
    <w:p>
      <w:pPr>
        <w:keepNext/>
        <w:spacing w:after="100" w:before="200"/>
        <w:outlineLvl w:val="1"/>
      </w:pPr>
      <w:r>
        <w:rPr>
          <w:rFonts w:ascii="Calibri" w:cs="Calibri" w:eastAsia="Calibri" w:hAnsi="Calibri"/>
          <w:b/>
          <w:bCs/>
          <w:color w:val="14161B"/>
          <w:sz w:val="21"/>
          <w:szCs w:val="21"/>
        </w:rPr>
        <w:t xml:space="preserve">Step 5 — Decision on outcome</w:t>
      </w:r>
    </w:p>
    <w:p>
      <w:pPr>
        <w:spacing w:after="120" w:before="60" w:line="276"/>
        <w:ind w:left="720" w:hanging="720"/>
        <w:jc w:val="both"/>
      </w:pPr>
      <w:r>
        <w:rPr>
          <w:rFonts w:ascii="Calibri" w:cs="Calibri" w:eastAsia="Calibri" w:hAnsi="Calibri"/>
          <w:sz w:val="21"/>
          <w:szCs w:val="21"/>
        </w:rPr>
        <w:t xml:space="preserve">4.9	</w:t>
      </w:r>
      <w:r>
        <w:rPr>
          <w:rFonts w:ascii="Calibri" w:cs="Calibri" w:eastAsia="Calibri" w:hAnsi="Calibri"/>
          <w:sz w:val="21"/>
          <w:szCs w:val="21"/>
        </w:rPr>
        <w:t xml:space="preserve">Where misconduct is established, the Company will decide the outcome having regard to its gravity, the employee’s record and length of service, any mitigating circumstances, the consistency of treatment with comparable cases, and whether a lesser measure would be sufficient.</w:t>
      </w:r>
    </w:p>
    <w:p>
      <w:pPr>
        <w:spacing w:after="120" w:before="60" w:line="276"/>
        <w:ind w:left="720" w:hanging="720"/>
        <w:jc w:val="both"/>
      </w:pPr>
      <w:r>
        <w:rPr>
          <w:rFonts w:ascii="Calibri" w:cs="Calibri" w:eastAsia="Calibri" w:hAnsi="Calibri"/>
          <w:sz w:val="21"/>
          <w:szCs w:val="21"/>
        </w:rPr>
        <w:t xml:space="preserve">4.10	</w:t>
      </w:r>
      <w:r>
        <w:rPr>
          <w:rFonts w:ascii="Calibri" w:cs="Calibri" w:eastAsia="Calibri" w:hAnsi="Calibri"/>
          <w:sz w:val="21"/>
          <w:szCs w:val="21"/>
        </w:rPr>
        <w:t xml:space="preserve">Possible outcomes are: no action; informal guidance; a written warning; a final written warning; downgrading; suspension without pay for a period not exceeding one week; or dismissal.</w:t>
      </w:r>
    </w:p>
    <w:p>
      <w:pPr>
        <w:spacing w:after="120" w:before="60" w:line="276"/>
        <w:ind w:left="720" w:hanging="720"/>
        <w:jc w:val="both"/>
      </w:pPr>
      <w:r>
        <w:rPr>
          <w:rFonts w:ascii="Calibri" w:cs="Calibri" w:eastAsia="Calibri" w:hAnsi="Calibri"/>
          <w:sz w:val="21"/>
          <w:szCs w:val="21"/>
        </w:rPr>
        <w:t xml:space="preserve">4.11	</w:t>
      </w:r>
      <w:r>
        <w:rPr>
          <w:rFonts w:ascii="Calibri" w:cs="Calibri" w:eastAsia="Calibri" w:hAnsi="Calibri"/>
          <w:sz w:val="21"/>
          <w:szCs w:val="21"/>
        </w:rPr>
        <w:t xml:space="preserve">The decision and the reasons will be communicated to the employee in writing.</w:t>
      </w:r>
    </w:p>
    <w:p>
      <w:pPr>
        <w:keepNext/>
        <w:spacing w:after="100" w:before="200"/>
        <w:outlineLvl w:val="1"/>
      </w:pPr>
      <w:r>
        <w:rPr>
          <w:rFonts w:ascii="Calibri" w:cs="Calibri" w:eastAsia="Calibri" w:hAnsi="Calibri"/>
          <w:b/>
          <w:bCs/>
          <w:color w:val="14161B"/>
          <w:sz w:val="21"/>
          <w:szCs w:val="21"/>
        </w:rPr>
        <w:t xml:space="preserve">Step 6 — Appeal</w:t>
      </w:r>
    </w:p>
    <w:p>
      <w:pPr>
        <w:spacing w:after="120" w:before="60" w:line="276"/>
        <w:ind w:left="720" w:hanging="720"/>
        <w:jc w:val="both"/>
      </w:pPr>
      <w:r>
        <w:rPr>
          <w:rFonts w:ascii="Calibri" w:cs="Calibri" w:eastAsia="Calibri" w:hAnsi="Calibri"/>
          <w:sz w:val="21"/>
          <w:szCs w:val="21"/>
        </w:rPr>
        <w:t xml:space="preserve">4.12	</w:t>
      </w:r>
      <w:r>
        <w:rPr>
          <w:rFonts w:ascii="Calibri" w:cs="Calibri" w:eastAsia="Calibri" w:hAnsi="Calibri"/>
          <w:sz w:val="21"/>
          <w:szCs w:val="21"/>
        </w:rPr>
        <w:t xml:space="preserve">The employee may appeal in writing to </w:t>
      </w:r>
      <w:r>
        <w:rPr>
          <w:rFonts w:ascii="Calibri" w:cs="Calibri" w:eastAsia="Calibri" w:hAnsi="Calibri"/>
          <w:b/>
          <w:bCs/>
          <w:sz w:val="21"/>
          <w:szCs w:val="21"/>
        </w:rPr>
        <w:t xml:space="preserve">[DESIGNATION]</w:t>
      </w:r>
      <w:r>
        <w:rPr>
          <w:rFonts w:ascii="Calibri" w:cs="Calibri" w:eastAsia="Calibri" w:hAnsi="Calibri"/>
          <w:sz w:val="21"/>
          <w:szCs w:val="21"/>
        </w:rPr>
        <w:t xml:space="preserve"> within </w:t>
      </w:r>
      <w:r>
        <w:rPr>
          <w:rFonts w:ascii="Calibri" w:cs="Calibri" w:eastAsia="Calibri" w:hAnsi="Calibri"/>
          <w:b/>
          <w:bCs/>
          <w:sz w:val="21"/>
          <w:szCs w:val="21"/>
        </w:rPr>
        <w:t xml:space="preserve">[5]</w:t>
      </w:r>
      <w:r>
        <w:rPr>
          <w:rFonts w:ascii="Calibri" w:cs="Calibri" w:eastAsia="Calibri" w:hAnsi="Calibri"/>
          <w:sz w:val="21"/>
          <w:szCs w:val="21"/>
        </w:rPr>
        <w:t xml:space="preserve"> working days. The appeal will be considered by a person senior to, and not involved in, the original decision, and the outcome communicated in writing.</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5. RECORDS AND CONFIDENTIALITY</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Company will keep a record of the inquiry comprising the notice of allegation, the evidence, the meeting record, the findings, the decision and the reasons, and any appeal.</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The record forms part of the employee’s personnel file and will be retained for the period required by law and by the Company’s retention schedule.</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The inquiry and its outcome are confidential to those who need to know. Personal data collected will be handled in accordance with the Personal Data Protection Act 2012.</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No employee will be treated adversely for participating in an inquiry, giving evidence, or reporting a concern in good faith.</w:t>
      </w:r>
    </w:p>
    <w:p>
      <w:pPr>
        <w:keepNext/>
        <w:spacing w:after="120" w:before="280"/>
        <w:outlineLvl w:val="0"/>
      </w:pPr>
      <w:r>
        <w:rPr>
          <w:rFonts w:ascii="Calibri" w:cs="Calibri" w:eastAsia="Calibri" w:hAnsi="Calibri"/>
          <w:b/>
          <w:bCs/>
          <w:color w:val="14161B"/>
          <w:sz w:val="22"/>
          <w:szCs w:val="22"/>
        </w:rPr>
        <w:t xml:space="preserve">6. PAYMENT ON DISMISSAL</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Where an employee is dismissed for misconduct following due inquiry, salary and other sums due are payable on the last day of employment.</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Dismissal for misconduct following due inquiry may be without notice or payment in lieu of notice, where the misconduct established is inconsistent with the fulfilment of the express or implied conditions of service.</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Deductions from final payment for damage or loss caused by the employee may be made only after a due inquiry into that damage or loss, and are subject to the statutory cap.</w:t>
      </w:r>
    </w:p>
    <w:p>
      <w:pPr>
        <w:spacing w:after="200"/>
      </w:pPr>
    </w:p>
    <w:p>
      <w:pPr>
        <w:spacing w:after="200" w:before="0" w:line="276"/>
        <w:jc w:val="both"/>
      </w:pPr>
      <w:r>
        <w:rPr>
          <w:rFonts w:ascii="Calibri" w:cs="Calibri" w:eastAsia="Calibri" w:hAnsi="Calibri"/>
          <w:b/>
          <w:bCs/>
          <w:sz w:val="21"/>
          <w:szCs w:val="21"/>
        </w:rPr>
        <w:t xml:space="preserve">Approved by </w:t>
      </w:r>
      <w:r>
        <w:rPr>
          <w:rFonts w:ascii="Calibri" w:cs="Calibri" w:eastAsia="Calibri" w:hAnsi="Calibri"/>
          <w:b/>
          <w:bCs/>
          <w:sz w:val="21"/>
          <w:szCs w:val="21"/>
        </w:rPr>
        <w:t xml:space="preserve">[NAME]</w:t>
      </w:r>
      <w:r>
        <w:rPr>
          <w:rFonts w:ascii="Calibri" w:cs="Calibri" w:eastAsia="Calibri" w:hAnsi="Calibri"/>
          <w:b/>
          <w:bCs/>
          <w:sz w:val="21"/>
          <w:szCs w:val="21"/>
        </w:rPr>
        <w:t xml:space="preserve">, </w:t>
      </w:r>
      <w:r>
        <w:rPr>
          <w:rFonts w:ascii="Calibri" w:cs="Calibri" w:eastAsia="Calibri" w:hAnsi="Calibri"/>
          <w:b/>
          <w:bCs/>
          <w:sz w:val="21"/>
          <w:szCs w:val="21"/>
        </w:rPr>
        <w:t xml:space="preserve">[DESIGNATION]</w:t>
      </w:r>
      <w:r>
        <w:rPr>
          <w:rFonts w:ascii="Calibri" w:cs="Calibri" w:eastAsia="Calibri" w:hAnsi="Calibri"/>
          <w:b/>
          <w:bCs/>
          <w:sz w:val="21"/>
          <w:szCs w:val="21"/>
        </w:rPr>
        <w:t xml:space="preserve">, on </w:t>
      </w:r>
      <w:r>
        <w:rPr>
          <w:rFonts w:ascii="Calibri" w:cs="Calibri" w:eastAsia="Calibri" w:hAnsi="Calibri"/>
          <w:b/>
          <w:bCs/>
          <w:sz w:val="21"/>
          <w:szCs w:val="21"/>
        </w:rPr>
        <w:t xml:space="preserve">[DATE]</w:t>
      </w:r>
      <w:r>
        <w:rPr>
          <w:rFonts w:ascii="Calibri" w:cs="Calibri" w:eastAsia="Calibri" w:hAnsi="Calibri"/>
          <w:b/>
          <w:bCs/>
          <w:sz w:val="21"/>
          <w:szCs w:val="21"/>
        </w:rPr>
        <w:t xml:space="preserv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For </w:t>
            </w:r>
            <w:r>
              <w:rPr>
                <w:rFonts w:ascii="Calibri" w:cs="Calibri" w:eastAsia="Calibri" w:hAnsi="Calibri"/>
                <w:b/>
                <w:bCs/>
                <w:sz w:val="21"/>
                <w:szCs w:val="21"/>
              </w:rPr>
              <w:t xml:space="preserve">[COMPANY NAME]</w:t>
            </w:r>
          </w:p>
        </w:tc>
        <w:tc>
          <w:tcPr>
            <w:tcW w:type="dxa" w:w="4700"/>
            <w:tcMar>
              <w:top w:type="dxa" w:w="60"/>
              <w:left w:type="dxa" w:w="0"/>
              <w:bottom w:type="dxa" w:w="60"/>
              <w:right w:type="dxa" w:w="200"/>
            </w:tcMar>
          </w:tcPr>
          <w:p>
            <w:pPr>
              <w:spacing w:after="90" w:line="264"/>
            </w:pPr>
          </w:p>
          <w:p>
            <w:pPr>
              <w:spacing w:after="90" w:line="264"/>
            </w:pPr>
          </w:p>
          <w:p>
            <w:pPr>
              <w:spacing w:after="90" w:line="264"/>
            </w:pPr>
          </w:p>
          <w:p>
            <w:pPr>
              <w:spacing w:after="90" w:line="264"/>
            </w:pP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Notice of Allegation — Template Letter</w:t>
      </w:r>
    </w:p>
    <w:p>
      <w:pPr>
        <w:spacing w:after="14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r>
        <w:rPr>
          <w:rFonts w:ascii="Calibri" w:cs="Calibri" w:eastAsia="Calibri" w:hAnsi="Calibri"/>
          <w:sz w:val="21"/>
          <w:szCs w:val="21"/>
        </w:rPr>
        <w:t xml:space="preserve">  </w:t>
      </w:r>
      <w:r>
        <w:rPr>
          <w:rFonts w:ascii="Calibri" w:cs="Calibri" w:eastAsia="Calibri" w:hAnsi="Calibri"/>
          <w:b/>
          <w:bCs/>
          <w:sz w:val="21"/>
          <w:szCs w:val="21"/>
        </w:rPr>
        <w:t xml:space="preserve">Private and confidential</w:t>
      </w:r>
    </w:p>
    <w:p>
      <w:pPr>
        <w:spacing w:after="140" w:before="0" w:line="276"/>
        <w:jc w:val="both"/>
      </w:pPr>
      <w:r>
        <w:rPr>
          <w:rFonts w:ascii="Calibri" w:cs="Calibri" w:eastAsia="Calibri" w:hAnsi="Calibri"/>
          <w:b/>
          <w:bCs/>
          <w:sz w:val="21"/>
          <w:szCs w:val="21"/>
        </w:rPr>
        <w:t xml:space="preserve">[EMPLOYEE NAME]</w:t>
      </w:r>
      <w:r>
        <w:rPr>
          <w:rFonts w:ascii="Calibri" w:cs="Calibri" w:eastAsia="Calibri" w:hAnsi="Calibri"/>
          <w:sz w:val="21"/>
          <w:szCs w:val="21"/>
        </w:rPr>
        <w:t xml:space="preserve">, </w:t>
      </w:r>
      <w:r>
        <w:rPr>
          <w:rFonts w:ascii="Calibri" w:cs="Calibri" w:eastAsia="Calibri" w:hAnsi="Calibri"/>
          <w:b/>
          <w:bCs/>
          <w:sz w:val="21"/>
          <w:szCs w:val="21"/>
        </w:rPr>
        <w:t xml:space="preserve">[JOB TITLE]</w:t>
      </w:r>
    </w:p>
    <w:p>
      <w:pPr>
        <w:spacing w:after="120" w:before="0" w:line="276"/>
        <w:jc w:val="both"/>
      </w:pPr>
      <w:r>
        <w:rPr>
          <w:rFonts w:ascii="Calibri" w:cs="Calibri" w:eastAsia="Calibri" w:hAnsi="Calibri"/>
          <w:sz w:val="21"/>
          <w:szCs w:val="21"/>
        </w:rPr>
        <w:t xml:space="preserve">Dear </w:t>
      </w:r>
      <w:r>
        <w:rPr>
          <w:rFonts w:ascii="Calibri" w:cs="Calibri" w:eastAsia="Calibri" w:hAnsi="Calibri"/>
          <w:b/>
          <w:bCs/>
          <w:sz w:val="21"/>
          <w:szCs w:val="21"/>
        </w:rPr>
        <w:t xml:space="preserve">[FIRST NAME]</w:t>
      </w:r>
      <w:r>
        <w:rPr>
          <w:rFonts w:ascii="Calibri" w:cs="Calibri" w:eastAsia="Calibri" w:hAnsi="Calibri"/>
          <w:sz w:val="21"/>
          <w:szCs w:val="21"/>
        </w:rPr>
        <w:t xml:space="preserve">,</w:t>
      </w:r>
    </w:p>
    <w:p>
      <w:pPr>
        <w:spacing w:after="140" w:before="0" w:line="276"/>
        <w:jc w:val="both"/>
      </w:pPr>
      <w:r>
        <w:rPr>
          <w:rFonts w:ascii="Calibri" w:cs="Calibri" w:eastAsia="Calibri" w:hAnsi="Calibri"/>
          <w:b/>
          <w:bCs/>
          <w:sz w:val="21"/>
          <w:szCs w:val="21"/>
        </w:rPr>
        <w:t xml:space="preserve">Notice of allegation and invitation to an inquiry</w:t>
      </w:r>
    </w:p>
    <w:p>
      <w:pPr>
        <w:spacing w:after="120" w:before="0" w:line="276"/>
        <w:jc w:val="both"/>
      </w:pPr>
      <w:r>
        <w:rPr>
          <w:rFonts w:ascii="Calibri" w:cs="Calibri" w:eastAsia="Calibri" w:hAnsi="Calibri"/>
          <w:sz w:val="21"/>
          <w:szCs w:val="21"/>
        </w:rPr>
        <w:t xml:space="preserve">We are writing to inform you of an allegation of misconduct and to invite you to an inquiry at which you will have the opportunity to respond.</w:t>
      </w:r>
    </w:p>
    <w:p>
      <w:pPr>
        <w:spacing w:after="100" w:before="0" w:line="276"/>
        <w:jc w:val="both"/>
      </w:pPr>
      <w:r>
        <w:rPr>
          <w:rFonts w:ascii="Calibri" w:cs="Calibri" w:eastAsia="Calibri" w:hAnsi="Calibri"/>
          <w:b/>
          <w:bCs/>
          <w:sz w:val="21"/>
          <w:szCs w:val="21"/>
        </w:rPr>
        <w:t xml:space="preserve">The allegation.</w:t>
      </w:r>
      <w:r>
        <w:rPr>
          <w:rFonts w:ascii="Calibri" w:cs="Calibri" w:eastAsia="Calibri" w:hAnsi="Calibri"/>
          <w:sz w:val="21"/>
          <w:szCs w:val="21"/>
        </w:rPr>
        <w:t xml:space="preserve"> It is alleged that:</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b/>
          <w:bCs/>
          <w:sz w:val="21"/>
          <w:szCs w:val="21"/>
        </w:rPr>
        <w:t xml:space="preserve">[STATE THE ALLEGATION AS A SPECIFIC FACTUAL ASSERTION — what, when, where, and who was affected. Avoid characterisations such as "unprofessional conduct".]</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b/>
          <w:bCs/>
          <w:sz w:val="21"/>
          <w:szCs w:val="21"/>
        </w:rPr>
        <w:t xml:space="preserve">[FURTHER ALLEGATION, IF ANY]</w:t>
      </w:r>
    </w:p>
    <w:p>
      <w:pPr>
        <w:spacing w:after="120" w:before="120" w:line="276"/>
        <w:jc w:val="both"/>
      </w:pPr>
      <w:r>
        <w:rPr>
          <w:rFonts w:ascii="Calibri" w:cs="Calibri" w:eastAsia="Calibri" w:hAnsi="Calibri"/>
          <w:sz w:val="21"/>
          <w:szCs w:val="21"/>
        </w:rPr>
        <w:t xml:space="preserve">If established, this would amount to a breach of </w:t>
      </w:r>
      <w:r>
        <w:rPr>
          <w:rFonts w:ascii="Calibri" w:cs="Calibri" w:eastAsia="Calibri" w:hAnsi="Calibri"/>
          <w:b/>
          <w:bCs/>
          <w:sz w:val="21"/>
          <w:szCs w:val="21"/>
        </w:rPr>
        <w:t xml:space="preserve">[IDENTIFY THE PROVISION — clause of the contract, section of the code of conduct, or policy]</w:t>
      </w:r>
      <w:r>
        <w:rPr>
          <w:rFonts w:ascii="Calibri" w:cs="Calibri" w:eastAsia="Calibri" w:hAnsi="Calibri"/>
          <w:sz w:val="21"/>
          <w:szCs w:val="21"/>
        </w:rPr>
        <w:t xml:space="preserve">.</w:t>
      </w:r>
    </w:p>
    <w:p>
      <w:pPr>
        <w:spacing w:after="100" w:before="0" w:line="276"/>
        <w:jc w:val="both"/>
      </w:pPr>
      <w:r>
        <w:rPr>
          <w:rFonts w:ascii="Calibri" w:cs="Calibri" w:eastAsia="Calibri" w:hAnsi="Calibri"/>
          <w:b/>
          <w:bCs/>
          <w:sz w:val="21"/>
          <w:szCs w:val="21"/>
        </w:rPr>
        <w:t xml:space="preserve">The evidence.</w:t>
      </w:r>
      <w:r>
        <w:rPr>
          <w:rFonts w:ascii="Calibri" w:cs="Calibri" w:eastAsia="Calibri" w:hAnsi="Calibri"/>
          <w:sz w:val="21"/>
          <w:szCs w:val="21"/>
        </w:rPr>
        <w:t xml:space="preserve"> The Company relies on the following, copies of which are enclosed:</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b/>
          <w:bCs/>
          <w:sz w:val="21"/>
          <w:szCs w:val="21"/>
        </w:rPr>
        <w:t xml:space="preserve">[DOCUMENT OR RECORD]</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b/>
          <w:bCs/>
          <w:sz w:val="21"/>
          <w:szCs w:val="21"/>
        </w:rPr>
        <w:t xml:space="preserve">[DOCUMENT OR RECORD]</w:t>
      </w:r>
    </w:p>
    <w:p>
      <w:pPr>
        <w:spacing w:after="120" w:before="120" w:line="276"/>
        <w:jc w:val="both"/>
      </w:pPr>
      <w:r>
        <w:rPr>
          <w:rFonts w:ascii="Calibri" w:cs="Calibri" w:eastAsia="Calibri" w:hAnsi="Calibri"/>
          <w:b/>
          <w:bCs/>
          <w:sz w:val="21"/>
          <w:szCs w:val="21"/>
        </w:rPr>
        <w:t xml:space="preserve">The inquiry.</w:t>
      </w:r>
      <w:r>
        <w:rPr>
          <w:rFonts w:ascii="Calibri" w:cs="Calibri" w:eastAsia="Calibri" w:hAnsi="Calibri"/>
          <w:sz w:val="21"/>
          <w:szCs w:val="21"/>
        </w:rPr>
        <w:t xml:space="preserve"> The inquiry will be held on </w:t>
      </w:r>
      <w:r>
        <w:rPr>
          <w:rFonts w:ascii="Calibri" w:cs="Calibri" w:eastAsia="Calibri" w:hAnsi="Calibri"/>
          <w:b/>
          <w:bCs/>
          <w:sz w:val="21"/>
          <w:szCs w:val="21"/>
        </w:rPr>
        <w:t xml:space="preserve">[DATE]</w:t>
      </w:r>
      <w:r>
        <w:rPr>
          <w:rFonts w:ascii="Calibri" w:cs="Calibri" w:eastAsia="Calibri" w:hAnsi="Calibri"/>
          <w:sz w:val="21"/>
          <w:szCs w:val="21"/>
        </w:rPr>
        <w:t xml:space="preserve"> at </w:t>
      </w:r>
      <w:r>
        <w:rPr>
          <w:rFonts w:ascii="Calibri" w:cs="Calibri" w:eastAsia="Calibri" w:hAnsi="Calibri"/>
          <w:b/>
          <w:bCs/>
          <w:sz w:val="21"/>
          <w:szCs w:val="21"/>
        </w:rPr>
        <w:t xml:space="preserve">[TIME]</w:t>
      </w:r>
      <w:r>
        <w:rPr>
          <w:rFonts w:ascii="Calibri" w:cs="Calibri" w:eastAsia="Calibri" w:hAnsi="Calibri"/>
          <w:sz w:val="21"/>
          <w:szCs w:val="21"/>
        </w:rPr>
        <w:t xml:space="preserve"> at </w:t>
      </w:r>
      <w:r>
        <w:rPr>
          <w:rFonts w:ascii="Calibri" w:cs="Calibri" w:eastAsia="Calibri" w:hAnsi="Calibri"/>
          <w:b/>
          <w:bCs/>
          <w:sz w:val="21"/>
          <w:szCs w:val="21"/>
        </w:rPr>
        <w:t xml:space="preserve">[PLACE]</w:t>
      </w:r>
      <w:r>
        <w:rPr>
          <w:rFonts w:ascii="Calibri" w:cs="Calibri" w:eastAsia="Calibri" w:hAnsi="Calibri"/>
          <w:sz w:val="21"/>
          <w:szCs w:val="21"/>
        </w:rPr>
        <w:t xml:space="preserve">, conducted by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r>
        <w:rPr>
          <w:rFonts w:ascii="Calibri" w:cs="Calibri" w:eastAsia="Calibri" w:hAnsi="Calibri"/>
          <w:sz w:val="21"/>
          <w:szCs w:val="21"/>
        </w:rPr>
        <w:t xml:space="preserve">, who has not been involved in the events described.</w:t>
      </w:r>
    </w:p>
    <w:p>
      <w:pPr>
        <w:spacing w:after="120" w:before="0" w:line="276"/>
        <w:jc w:val="both"/>
      </w:pPr>
      <w:r>
        <w:rPr>
          <w:rFonts w:ascii="Calibri" w:cs="Calibri" w:eastAsia="Calibri" w:hAnsi="Calibri"/>
          <w:b/>
          <w:bCs/>
          <w:sz w:val="21"/>
          <w:szCs w:val="21"/>
        </w:rPr>
        <w:t xml:space="preserve">Your rights.</w:t>
      </w:r>
      <w:r>
        <w:rPr>
          <w:rFonts w:ascii="Calibri" w:cs="Calibri" w:eastAsia="Calibri" w:hAnsi="Calibri"/>
          <w:sz w:val="21"/>
          <w:szCs w:val="21"/>
        </w:rPr>
        <w:t xml:space="preserve"> You may be accompanied by a colleague or a union representative. You may respond orally or in writing, present your account, comment on the evidence, and identify any witness or document you wish the inquiry to consider. If you need more time to prepare, or wish the inquiry to obtain a document, tell </w:t>
      </w:r>
      <w:r>
        <w:rPr>
          <w:rFonts w:ascii="Calibri" w:cs="Calibri" w:eastAsia="Calibri" w:hAnsi="Calibri"/>
          <w:b/>
          <w:bCs/>
          <w:sz w:val="21"/>
          <w:szCs w:val="21"/>
        </w:rPr>
        <w:t xml:space="preserve">[NAME]</w:t>
      </w:r>
      <w:r>
        <w:rPr>
          <w:rFonts w:ascii="Calibri" w:cs="Calibri" w:eastAsia="Calibri" w:hAnsi="Calibri"/>
          <w:sz w:val="21"/>
          <w:szCs w:val="21"/>
        </w:rPr>
        <w:t xml:space="preserve"> before the meeting.</w:t>
      </w:r>
    </w:p>
    <w:p>
      <w:pPr>
        <w:spacing w:after="120" w:before="0" w:line="276"/>
        <w:jc w:val="both"/>
      </w:pPr>
      <w:r>
        <w:rPr>
          <w:rFonts w:ascii="Calibri" w:cs="Calibri" w:eastAsia="Calibri" w:hAnsi="Calibri"/>
          <w:b/>
          <w:bCs/>
          <w:sz w:val="21"/>
          <w:szCs w:val="21"/>
        </w:rPr>
        <w:t xml:space="preserve">Possible outcomes.</w:t>
      </w:r>
      <w:r>
        <w:rPr>
          <w:rFonts w:ascii="Calibri" w:cs="Calibri" w:eastAsia="Calibri" w:hAnsi="Calibri"/>
          <w:sz w:val="21"/>
          <w:szCs w:val="21"/>
        </w:rPr>
        <w:t xml:space="preserve"> If the allegation is established, the possible outcomes include a warning, a final written warning, downgrading, suspension without pay, or dismissal. No decision has been taken and none will be taken before you have had the opportunity to respond.</w:t>
      </w:r>
    </w:p>
    <w:p>
      <w:pPr>
        <w:spacing w:after="160" w:before="0" w:line="276"/>
        <w:jc w:val="both"/>
      </w:pPr>
      <w:r>
        <w:rPr>
          <w:rFonts w:ascii="Calibri" w:cs="Calibri" w:eastAsia="Calibri" w:hAnsi="Calibri"/>
          <w:b/>
          <w:bCs/>
          <w:sz w:val="21"/>
          <w:szCs w:val="21"/>
        </w:rPr>
        <w:t xml:space="preserve">[Where suspension applies]</w:t>
      </w:r>
      <w:r>
        <w:rPr>
          <w:rFonts w:ascii="Calibri" w:cs="Calibri" w:eastAsia="Calibri" w:hAnsi="Calibri"/>
          <w:sz w:val="21"/>
          <w:szCs w:val="21"/>
        </w:rPr>
        <w:t xml:space="preserve"> </w:t>
      </w:r>
      <w:r>
        <w:rPr>
          <w:rFonts w:ascii="Calibri" w:cs="Calibri" w:eastAsia="Calibri" w:hAnsi="Calibri"/>
          <w:b/>
          <w:bCs/>
          <w:sz w:val="21"/>
          <w:szCs w:val="21"/>
        </w:rPr>
        <w:t xml:space="preserve">Suspension.</w:t>
      </w:r>
      <w:r>
        <w:rPr>
          <w:rFonts w:ascii="Calibri" w:cs="Calibri" w:eastAsia="Calibri" w:hAnsi="Calibri"/>
          <w:sz w:val="21"/>
          <w:szCs w:val="21"/>
        </w:rPr>
        <w:t xml:space="preserve"> You are suspended from work with effect from </w:t>
      </w:r>
      <w:r>
        <w:rPr>
          <w:rFonts w:ascii="Calibri" w:cs="Calibri" w:eastAsia="Calibri" w:hAnsi="Calibri"/>
          <w:b/>
          <w:bCs/>
          <w:sz w:val="21"/>
          <w:szCs w:val="21"/>
        </w:rPr>
        <w:t xml:space="preserve">[DATE]</w:t>
      </w:r>
      <w:r>
        <w:rPr>
          <w:rFonts w:ascii="Calibri" w:cs="Calibri" w:eastAsia="Calibri" w:hAnsi="Calibri"/>
          <w:sz w:val="21"/>
          <w:szCs w:val="21"/>
        </w:rPr>
        <w:t xml:space="preserve"> pending this inquiry, for a period not exceeding one week, on </w:t>
      </w:r>
      <w:r>
        <w:rPr>
          <w:rFonts w:ascii="Calibri" w:cs="Calibri" w:eastAsia="Calibri" w:hAnsi="Calibri"/>
          <w:b/>
          <w:bCs/>
          <w:sz w:val="21"/>
          <w:szCs w:val="21"/>
        </w:rPr>
        <w:t xml:space="preserve">[not less than half]</w:t>
      </w:r>
      <w:r>
        <w:rPr>
          <w:rFonts w:ascii="Calibri" w:cs="Calibri" w:eastAsia="Calibri" w:hAnsi="Calibri"/>
          <w:sz w:val="21"/>
          <w:szCs w:val="21"/>
        </w:rPr>
        <w:t xml:space="preserve"> of your salary. Suspension is not a penalty and does not indicate that any finding has been made. If the allegation is not established, the withheld amount will be restored to you in full.</w:t>
      </w:r>
    </w:p>
    <w:p>
      <w:pPr>
        <w:spacing w:after="200" w:before="0" w:line="276"/>
        <w:jc w:val="both"/>
      </w:pPr>
      <w:r>
        <w:rPr>
          <w:rFonts w:ascii="Calibri" w:cs="Calibri" w:eastAsia="Calibri" w:hAnsi="Calibri"/>
          <w:sz w:val="21"/>
          <w:szCs w:val="21"/>
        </w:rPr>
        <w:t xml:space="preserve">Yours sincerely,  </w:t>
      </w: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r>
        <w:rPr>
          <w:rFonts w:ascii="Calibri" w:cs="Calibri" w:eastAsia="Calibri" w:hAnsi="Calibri"/>
          <w:sz w:val="21"/>
          <w:szCs w:val="21"/>
        </w:rPr>
        <w:t xml:space="preserve">  _______________________________  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Inquiry Record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3662"/>
        <w:gridCol w:w="1156"/>
        <w:gridCol w:w="1445"/>
        <w:gridCol w:w="2894"/>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44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By</w:t>
            </w:r>
          </w:p>
        </w:tc>
        <w:tc>
          <w:tcPr>
            <w:tcW w:type="dxa" w:w="289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Record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Report received</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289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[SOURCE]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Preliminary assessment — case to answer?</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289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 and reason]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Inquiry officer appointed — independence confirmed</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289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 complainant, not witness]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Suspension imposed, if any — rate of pay and end date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289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[Half salary; ends ______]</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Notice of allegation issued with evidence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289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[Reference]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Preparation period given</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[DAYS]</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289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[Adequate?]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Inquiry meeting held</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289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[Attendees; accompanied?]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Employee’s account recorded</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289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[Summary]</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Witnesses or documents requested by the employee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289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[Obtained? If not, why]</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Meeting record given to the employee to correct</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289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[Corrections?]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Findings on each allegation, with reasons</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289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[Established / not established]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Proportionality considered — record, service, mitigation, consistency</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289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[Reasoning]</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13</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Decision communicated in writing</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289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[Outcome]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14</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Suspension pay restored, where not established</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289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[Amount]</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15</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Final payment made on the last day of employment</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289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[Amount]</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16</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Appeal received and determined</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289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[Outcome]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No prescribed procedure does not mean no standard</w:t>
      </w:r>
    </w:p>
    <w:p>
      <w:pPr>
        <w:spacing w:after="60" w:line="264"/>
        <w:jc w:val="both"/>
      </w:pPr>
      <w:r>
        <w:rPr>
          <w:rFonts w:ascii="Calibri" w:cs="Calibri" w:eastAsia="Calibri" w:hAnsi="Calibri"/>
          <w:sz w:val="19"/>
          <w:szCs w:val="19"/>
        </w:rPr>
        <w:t xml:space="preserve">The Employment Act requires a due inquiry before dismissal for misconduct but does not prescribe how it must be run. Employers frequently read that as licence to hold a short conversation and decide. The absence of a prescribed form means the test is substantive fairness: did the employee know the allegation, and did they have a real opportunity to answer it? Both must be evidenced.</w:t>
      </w:r>
    </w:p>
    <w:p>
      <w:pPr>
        <w:keepNext/>
        <w:spacing w:after="40" w:before="140"/>
      </w:pPr>
      <w:r>
        <w:rPr>
          <w:rFonts w:ascii="Calibri" w:cs="Calibri" w:eastAsia="Calibri" w:hAnsi="Calibri"/>
          <w:b/>
          <w:bCs/>
          <w:color w:val="14161B"/>
          <w:sz w:val="20"/>
          <w:szCs w:val="20"/>
        </w:rPr>
        <w:t xml:space="preserve">The three things that decide the case</w:t>
      </w:r>
    </w:p>
    <w:p>
      <w:pPr>
        <w:spacing w:after="60" w:line="264"/>
        <w:jc w:val="both"/>
      </w:pPr>
      <w:r>
        <w:rPr>
          <w:rFonts w:ascii="Calibri" w:cs="Calibri" w:eastAsia="Calibri" w:hAnsi="Calibri"/>
          <w:sz w:val="19"/>
          <w:szCs w:val="19"/>
        </w:rPr>
        <w:t xml:space="preserve">Where a dismissal is challenged, the questions are almost always: was the allegation put to the employee with enough particularity to answer; was the employee heard before the decision; and was the decision-maker independent of the complaint. Get those three right and most other imperfections are survivable. Miss one and the rest of the file rarely helps.</w:t>
      </w:r>
    </w:p>
    <w:p>
      <w:pPr>
        <w:keepNext/>
        <w:spacing w:after="40" w:before="140"/>
      </w:pPr>
      <w:r>
        <w:rPr>
          <w:rFonts w:ascii="Calibri" w:cs="Calibri" w:eastAsia="Calibri" w:hAnsi="Calibri"/>
          <w:b/>
          <w:bCs/>
          <w:color w:val="14161B"/>
          <w:sz w:val="20"/>
          <w:szCs w:val="20"/>
        </w:rPr>
        <w:t xml:space="preserve">The inquiry officer must be independent</w:t>
      </w:r>
    </w:p>
    <w:p>
      <w:pPr>
        <w:spacing w:after="60" w:line="264"/>
        <w:jc w:val="both"/>
      </w:pPr>
      <w:r>
        <w:rPr>
          <w:rFonts w:ascii="Calibri" w:cs="Calibri" w:eastAsia="Calibri" w:hAnsi="Calibri"/>
          <w:sz w:val="19"/>
          <w:szCs w:val="19"/>
        </w:rPr>
        <w:t xml:space="preserve">Appointing the complainant, the person who investigated, or the person who has already decided the outcome undermines the whole exercise. In a small company this may mean asking a director from another function, or engaging someone external. It is worth the inconvenience.</w:t>
      </w:r>
    </w:p>
    <w:p>
      <w:pPr>
        <w:keepNext/>
        <w:spacing w:after="40" w:before="140"/>
      </w:pPr>
      <w:r>
        <w:rPr>
          <w:rFonts w:ascii="Calibri" w:cs="Calibri" w:eastAsia="Calibri" w:hAnsi="Calibri"/>
          <w:b/>
          <w:bCs/>
          <w:color w:val="14161B"/>
          <w:sz w:val="20"/>
          <w:szCs w:val="20"/>
        </w:rPr>
        <w:t xml:space="preserve">Vague allegations cannot be answered</w:t>
      </w:r>
    </w:p>
    <w:p>
      <w:pPr>
        <w:spacing w:after="60" w:line="264"/>
        <w:jc w:val="both"/>
      </w:pPr>
      <w:r>
        <w:rPr>
          <w:rFonts w:ascii="Calibri" w:cs="Calibri" w:eastAsia="Calibri" w:hAnsi="Calibri"/>
          <w:sz w:val="19"/>
          <w:szCs w:val="19"/>
        </w:rPr>
        <w:t xml:space="preserve">An allegation of "unprofessional behaviour" or "poor attitude" gives the employee nothing to respond to and cannot support a finding. State what is said to have happened, on what date, and why it breaches a specific provision. If the conduct cannot be described that way, reconsider whether it is a misconduct matter at all.</w:t>
      </w:r>
    </w:p>
    <w:p>
      <w:pPr>
        <w:keepNext/>
        <w:spacing w:after="40" w:before="140"/>
      </w:pPr>
      <w:r>
        <w:rPr>
          <w:rFonts w:ascii="Calibri" w:cs="Calibri" w:eastAsia="Calibri" w:hAnsi="Calibri"/>
          <w:b/>
          <w:bCs/>
          <w:color w:val="14161B"/>
          <w:sz w:val="20"/>
          <w:szCs w:val="20"/>
        </w:rPr>
        <w:t xml:space="preserve">Suspension: one week, half pay, restored if not established</w:t>
      </w:r>
    </w:p>
    <w:p>
      <w:pPr>
        <w:spacing w:after="60" w:line="264"/>
        <w:jc w:val="both"/>
      </w:pPr>
      <w:r>
        <w:rPr>
          <w:rFonts w:ascii="Calibri" w:cs="Calibri" w:eastAsia="Calibri" w:hAnsi="Calibri"/>
          <w:sz w:val="19"/>
          <w:szCs w:val="19"/>
        </w:rPr>
        <w:t xml:space="preserve">These are the three limits that are most often exceeded. Suspension pending inquiry may not exceed one week; the employee must be paid at least half salary; and if misconduct is not established, the withheld amount must be restored in full. Where an inquiry genuinely needs longer, return the employee to duty or place them on paid leave rather than extending suspended pay — Clause 3.5 says so.</w:t>
      </w:r>
    </w:p>
    <w:p>
      <w:pPr>
        <w:keepNext/>
        <w:spacing w:after="40" w:before="140"/>
      </w:pPr>
      <w:r>
        <w:rPr>
          <w:rFonts w:ascii="Calibri" w:cs="Calibri" w:eastAsia="Calibri" w:hAnsi="Calibri"/>
          <w:b/>
          <w:bCs/>
          <w:color w:val="14161B"/>
          <w:sz w:val="20"/>
          <w:szCs w:val="20"/>
        </w:rPr>
        <w:t xml:space="preserve">Proportionality is part of fairness</w:t>
      </w:r>
    </w:p>
    <w:p>
      <w:pPr>
        <w:spacing w:after="60" w:line="264"/>
        <w:jc w:val="both"/>
      </w:pPr>
      <w:r>
        <w:rPr>
          <w:rFonts w:ascii="Calibri" w:cs="Calibri" w:eastAsia="Calibri" w:hAnsi="Calibri"/>
          <w:sz w:val="19"/>
          <w:szCs w:val="19"/>
        </w:rPr>
        <w:t xml:space="preserve">Establishing misconduct does not make dismissal automatically appropriate. A long clean record, a first offence, genuine mitigation, or inconsistent treatment of comparable cases all bear on the outcome. Step 12 of the inquiry record requires the reasoning to be written down — a decision showing no consideration of proportionality is vulnerable even where the facts are proved.</w:t>
      </w:r>
    </w:p>
    <w:p>
      <w:pPr>
        <w:keepNext/>
        <w:spacing w:after="40" w:before="140"/>
      </w:pPr>
      <w:r>
        <w:rPr>
          <w:rFonts w:ascii="Calibri" w:cs="Calibri" w:eastAsia="Calibri" w:hAnsi="Calibri"/>
          <w:b/>
          <w:bCs/>
          <w:color w:val="14161B"/>
          <w:sz w:val="20"/>
          <w:szCs w:val="20"/>
        </w:rPr>
        <w:t xml:space="preserve">Wrongful dismissal claims and the Tribunal</w:t>
      </w:r>
    </w:p>
    <w:p>
      <w:pPr>
        <w:spacing w:after="60" w:line="264"/>
        <w:jc w:val="both"/>
      </w:pPr>
      <w:r>
        <w:rPr>
          <w:rFonts w:ascii="Calibri" w:cs="Calibri" w:eastAsia="Calibri" w:hAnsi="Calibri"/>
          <w:sz w:val="19"/>
          <w:szCs w:val="19"/>
        </w:rPr>
        <w:t xml:space="preserve">An employee who considers a dismissal wrongful may lodge a claim, which is mediated at the Tripartite Alliance for Dispute Management and, if unresolved, heard at the Employment Claims Tribunal. Remedies can include reinstatement or compensation. Dismissal without due inquiry, dismissal on a ground the employer cannot evidence, and dismissal to avoid a benefit falling due are the recurring bases.</w:t>
      </w:r>
    </w:p>
    <w:p>
      <w:pPr>
        <w:keepNext/>
        <w:spacing w:after="40" w:before="140"/>
      </w:pPr>
      <w:r>
        <w:rPr>
          <w:rFonts w:ascii="Calibri" w:cs="Calibri" w:eastAsia="Calibri" w:hAnsi="Calibri"/>
          <w:b/>
          <w:bCs/>
          <w:color w:val="14161B"/>
          <w:sz w:val="20"/>
          <w:szCs w:val="20"/>
        </w:rPr>
        <w:t xml:space="preserve">Do not use misconduct to avoid notice</w:t>
      </w:r>
    </w:p>
    <w:p>
      <w:pPr>
        <w:spacing w:after="60" w:line="264"/>
        <w:jc w:val="both"/>
      </w:pPr>
      <w:r>
        <w:rPr>
          <w:rFonts w:ascii="Calibri" w:cs="Calibri" w:eastAsia="Calibri" w:hAnsi="Calibri"/>
          <w:sz w:val="19"/>
          <w:szCs w:val="19"/>
        </w:rPr>
        <w:t xml:space="preserve">Characterising a performance problem or a redundancy as misconduct in order to dismiss without notice is transparent and expensive. If the real reason is performance, use the performance process. If it is redundancy, follow the retrenchment route with its own notification requirements.</w:t>
      </w:r>
    </w:p>
    <w:p>
      <w:pPr>
        <w:keepNext/>
        <w:spacing w:after="40" w:before="140"/>
      </w:pPr>
      <w:r>
        <w:rPr>
          <w:rFonts w:ascii="Calibri" w:cs="Calibri" w:eastAsia="Calibri" w:hAnsi="Calibri"/>
          <w:b/>
          <w:bCs/>
          <w:color w:val="14161B"/>
          <w:sz w:val="20"/>
          <w:szCs w:val="20"/>
        </w:rPr>
        <w:t xml:space="preserve">Deductions for damage need their own inquiry</w:t>
      </w:r>
    </w:p>
    <w:p>
      <w:pPr>
        <w:spacing w:after="60" w:line="264"/>
        <w:jc w:val="both"/>
      </w:pPr>
      <w:r>
        <w:rPr>
          <w:rFonts w:ascii="Calibri" w:cs="Calibri" w:eastAsia="Calibri" w:hAnsi="Calibri"/>
          <w:sz w:val="19"/>
          <w:szCs w:val="19"/>
        </w:rPr>
        <w:t xml:space="preserve">Where the Company proposes to deduct from salary for damage or loss caused by the employee, a separate due inquiry into that damage or loss is required, giving the employee an opportunity to explain, and the deduction is capped. A deduction imposed as part of the disciplinary outcome without that inquiry is not properly authorised.</w:t>
      </w:r>
    </w:p>
    <w:p>
      <w:pPr>
        <w:keepNext/>
        <w:spacing w:after="40" w:before="140"/>
      </w:pPr>
      <w:r>
        <w:rPr>
          <w:rFonts w:ascii="Calibri" w:cs="Calibri" w:eastAsia="Calibri" w:hAnsi="Calibri"/>
          <w:b/>
          <w:bCs/>
          <w:color w:val="14161B"/>
          <w:sz w:val="20"/>
          <w:szCs w:val="20"/>
        </w:rPr>
        <w:t xml:space="preserve">Payment on the last day</w:t>
      </w:r>
    </w:p>
    <w:p>
      <w:pPr>
        <w:spacing w:after="60" w:line="264"/>
        <w:jc w:val="both"/>
      </w:pPr>
      <w:r>
        <w:rPr>
          <w:rFonts w:ascii="Calibri" w:cs="Calibri" w:eastAsia="Calibri" w:hAnsi="Calibri"/>
          <w:sz w:val="19"/>
          <w:szCs w:val="19"/>
        </w:rPr>
        <w:t xml:space="preserve">Where the employer dismisses, all sums due are payable on the last day of employment — including where the dismissal is for misconduct. Withholding final pay pending recovery of property or an alleged loss is not permitted beyond deductions the law allows.</w:t>
      </w:r>
    </w:p>
    <w:p>
      <w:pPr>
        <w:keepNext/>
        <w:spacing w:after="40" w:before="140"/>
      </w:pPr>
      <w:r>
        <w:rPr>
          <w:rFonts w:ascii="Calibri" w:cs="Calibri" w:eastAsia="Calibri" w:hAnsi="Calibri"/>
          <w:b/>
          <w:bCs/>
          <w:color w:val="14161B"/>
          <w:sz w:val="20"/>
          <w:szCs w:val="20"/>
        </w:rPr>
        <w:t xml:space="preserve">Harassment goes elsewhere</w:t>
      </w:r>
    </w:p>
    <w:p>
      <w:pPr>
        <w:spacing w:after="60" w:line="264"/>
        <w:jc w:val="both"/>
      </w:pPr>
      <w:r>
        <w:rPr>
          <w:rFonts w:ascii="Calibri" w:cs="Calibri" w:eastAsia="Calibri" w:hAnsi="Calibri"/>
          <w:sz w:val="19"/>
          <w:szCs w:val="19"/>
        </w:rPr>
        <w:t xml:space="preserve">Complaints of harassment are dealt with under the anti-harassment policy and, where relevant, the Protection from Harassment Act. Running a harassment complaint through a general disciplinary inquiry risks handling it inappropriately for the complainant and inadequately for the respondent. Clause 1.3 routes it correctly.</w:t>
      </w:r>
    </w:p>
    <w:p>
      <w:pPr>
        <w:keepNext/>
        <w:spacing w:after="40" w:before="140"/>
      </w:pPr>
      <w:r>
        <w:rPr>
          <w:rFonts w:ascii="Calibri" w:cs="Calibri" w:eastAsia="Calibri" w:hAnsi="Calibri"/>
          <w:b/>
          <w:bCs/>
          <w:color w:val="14161B"/>
          <w:sz w:val="20"/>
          <w:szCs w:val="20"/>
        </w:rPr>
        <w:t xml:space="preserve">Foreign employees and work passes</w:t>
      </w:r>
    </w:p>
    <w:p>
      <w:pPr>
        <w:spacing w:after="60" w:line="264"/>
        <w:jc w:val="both"/>
      </w:pPr>
      <w:r>
        <w:rPr>
          <w:rFonts w:ascii="Calibri" w:cs="Calibri" w:eastAsia="Calibri" w:hAnsi="Calibri"/>
          <w:sz w:val="19"/>
          <w:szCs w:val="19"/>
        </w:rPr>
        <w:t xml:space="preserve">Where the employee holds a work pass, dismissal triggers pass cancellation, tax clearance obligations and, for some pass types, repatriation responsibilities. Those steps run in parallel with, and are not part of, the inquiry — but plan them, because the timelines are short once the decision is made.</w:t>
      </w:r>
    </w:p>
    <w:p>
      <w:pPr>
        <w:keepNext/>
        <w:spacing w:after="40" w:before="140"/>
      </w:pPr>
      <w:r>
        <w:rPr>
          <w:rFonts w:ascii="Calibri" w:cs="Calibri" w:eastAsia="Calibri" w:hAnsi="Calibri"/>
          <w:b/>
          <w:bCs/>
          <w:color w:val="14161B"/>
          <w:sz w:val="20"/>
          <w:szCs w:val="20"/>
        </w:rPr>
        <w:t xml:space="preserve">Keep the whole file together</w:t>
      </w:r>
    </w:p>
    <w:p>
      <w:pPr>
        <w:spacing w:after="60" w:line="264"/>
        <w:jc w:val="both"/>
      </w:pPr>
      <w:r>
        <w:rPr>
          <w:rFonts w:ascii="Calibri" w:cs="Calibri" w:eastAsia="Calibri" w:hAnsi="Calibri"/>
          <w:sz w:val="19"/>
          <w:szCs w:val="19"/>
        </w:rPr>
        <w:t xml:space="preserve">The notice, the evidence, the meeting record, the employee’s corrections, the findings, the reasoning and the appeal should sit in one place. Where a dismissal is challenged years later, this file is the entire defence, and its absence turns a straightforward matter into a contested one.</w:t>
      </w:r>
    </w:p>
    <w:p>
      <w:pPr>
        <w:keepNext/>
        <w:spacing w:after="40" w:before="140"/>
      </w:pPr>
      <w:r>
        <w:rPr>
          <w:rFonts w:ascii="Calibri" w:cs="Calibri" w:eastAsia="Calibri" w:hAnsi="Calibri"/>
          <w:b/>
          <w:bCs/>
          <w:color w:val="14161B"/>
          <w:sz w:val="20"/>
          <w:szCs w:val="20"/>
        </w:rPr>
        <w:t xml:space="preserve">Watch the Employment Act review</w:t>
      </w:r>
    </w:p>
    <w:p>
      <w:pPr>
        <w:spacing w:after="60" w:line="264"/>
        <w:jc w:val="both"/>
      </w:pPr>
      <w:r>
        <w:rPr>
          <w:rFonts w:ascii="Calibri" w:cs="Calibri" w:eastAsia="Calibri" w:hAnsi="Calibri"/>
          <w:sz w:val="19"/>
          <w:szCs w:val="19"/>
        </w:rPr>
        <w:t xml:space="preserve">A significant review of the Employment Act is under way with proposals expected during the second half of 2026. Disciplinary and dismissal provisions are within scope. Diarise a review of this procedure once the outcome is published.</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Suspension limits, deduction caps, notice requirements and Tribunal claim limits all change — take advice from an employment adviser before dismissing for misconduct, particularly where the employee is long-serving, holds a work pass, or has raised a grievance.</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2026-08-22T06:55:28.487Z</dcterms:created>
  <dcterms:modified xsi:type="dcterms:W3CDTF">2026-08-22T06:55:28.487Z</dcterms:modified>
</cp:coreProperties>
</file>

<file path=docProps/custom.xml><?xml version="1.0" encoding="utf-8"?>
<Properties xmlns="http://schemas.openxmlformats.org/officeDocument/2006/custom-properties" xmlns:vt="http://schemas.openxmlformats.org/officeDocument/2006/docPropsVTypes"/>
</file>