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DUE DILIGENCE</w:t>
      </w:r>
    </w:p>
    <w:p>
      <w:pPr>
        <w:spacing w:after="260"/>
        <w:jc w:val="center"/>
      </w:pPr>
      <w:r>
        <w:rPr>
          <w:rFonts w:ascii="Calibri" w:cs="Calibri" w:eastAsia="Calibri" w:hAnsi="Calibri"/>
          <w:i/>
          <w:iCs/>
          <w:color w:val="6E7480"/>
          <w:sz w:val="19"/>
          <w:szCs w:val="19"/>
        </w:rPr>
        <w:t xml:space="preserve">Checklist for a Singapore company</w:t>
      </w:r>
    </w:p>
    <w:p>
      <w:pPr>
        <w:spacing w:after="180" w:before="0" w:line="276"/>
        <w:jc w:val="both"/>
      </w:pPr>
      <w:r>
        <w:rPr>
          <w:rFonts w:ascii="Calibri" w:cs="Calibri" w:eastAsia="Calibri" w:hAnsi="Calibri"/>
          <w:i/>
          <w:iCs/>
          <w:color w:val="6E7480"/>
          <w:sz w:val="21"/>
          <w:szCs w:val="21"/>
        </w:rPr>
        <w:t xml:space="preserve">Four areas surface problems in almost every Singapore diligence exercise, and none of them are the financials: unassigned founder intellectual property, employment compliance gaps (key employment terms, payslips, CPF for pass holders), stale statutory registers, and undocumented founder loans. Run those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[Financing round / Acquisition / Secondary purchase]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room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Cut-off date for information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Disclosure letter received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Red flags identified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see the summary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 progress / Complete]</w:t>
            </w:r>
          </w:p>
        </w:tc>
      </w:tr>
    </w:tbl>
    <w:p>
      <w:pPr>
        <w:spacing w:after="180"/>
      </w:pPr>
    </w:p>
    <w:p>
      <w:pPr>
        <w:keepNext/>
        <w:spacing w:after="120" w:before="280"/>
        <w:outlineLvl w:val="0"/>
      </w:pPr>
      <w:r>
        <w:rPr>
          <w:rFonts w:ascii="Calibri" w:cs="Calibri" w:eastAsia="Calibri" w:hAnsi="Calibri"/>
          <w:b/>
          <w:bCs/>
          <w:color w:val="14161B"/>
          <w:sz w:val="22"/>
          <w:szCs w:val="22"/>
        </w:rPr>
        <w:t xml:space="preserve">THE FOUR THAT MATTER MOST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3469"/>
        <w:gridCol w:w="3857"/>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Area</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goes wrong</w:t>
            </w:r>
          </w:p>
        </w:tc>
        <w:tc>
          <w:tcPr>
            <w:tcW w:type="dxa" w:w="3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to test it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and contractor IP</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Code, designs or brand created before incorporation, or by contractors with no assignment clause, still belongs to the individual</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Ask for signed assignments from every founder and every contractor who touched the product. Absence is the norm, not the exception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Employment compliance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written key employment terms, no itemised payslips, CPF contributed for pass holders or missed for new permanent residents</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Sample five employee files and one payroll run. Check pass holders show no CPF and that SDL is paid for everyone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Statutory registers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Allotments never filed, controllers register never set up or never verified annually, charges undischarged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Compare the cap table to the Registrar’s register of members. Ask when controller verification notices were last sent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loans and promises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Money put in without documentation; equity promised verbally or in an offer letter and never granted</w:t>
            </w:r>
          </w:p>
        </w:tc>
        <w:tc>
          <w:tcPr>
            <w:tcW w:type="dxa" w:w="385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Ask each founder directly, in writing, and reconcile to the ledger</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A. CORPORATE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5714"/>
        <w:gridCol w:w="1503"/>
        <w:gridCol w:w="1503"/>
        <w:gridCol w:w="3909"/>
        <w:gridCol w:w="1808"/>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57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Item</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Requested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Received</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Severity</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Certificate of incorporation and current business profile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Constitution as currently filed, and all amendments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[Model Constitution still in force?]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Register of members maintained by the Registrar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[Reconciles to the cap table?]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Cap table, fully diluted, including the ungranted option pool</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All returns of allotment filed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allotment not filed within 14 days?]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A6</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Share transfers — instruments, and evidence of stamping</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unstamped?]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A7</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 of registrable controllers</w:t>
            </w:r>
            <w:r>
              <w:rPr>
                <w:rFonts w:ascii="Calibri" w:cs="Calibri" w:eastAsia="Calibri" w:hAnsi="Calibri"/>
                <w:sz w:val="15"/>
                <w:szCs w:val="15"/>
              </w:rPr>
              <w:t xml:space="preserve">, and central filing</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[Set up? Verified annually?]</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A8</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Registers of nominee directors and nominee shareholders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A9</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Register of directors and secretaries; at least one resident director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A10</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Company secretary appointed; office not vacant beyond 6 months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Board and members’ minutes and written resolutions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[Complete and in sequence?]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Register of charges; all charges registered and satisfied ones discharged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undischarged?]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Annual returns filed for all years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Shareholders’ agreements and side letters, including any not disclosed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[Consistent with the constitution?]</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Convertible instruments outstanding and their conversion terms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[Aggregate dilution modelled?]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A16</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Directors’ interests register and related party transactions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bl>
    <w:p>
      <w:pPr>
        <w:spacing w:after="140"/>
      </w:pPr>
    </w:p>
    <w:p>
      <w:pPr>
        <w:spacing w:after="240" w:before="240"/>
        <w:jc w:val="center"/>
      </w:pPr>
      <w:r>
        <w:rPr>
          <w:rFonts w:ascii="Calibri" w:cs="Calibri" w:eastAsia="Calibri" w:hAnsi="Calibri"/>
          <w:b/>
          <w:bCs/>
          <w:color w:val="14161B"/>
          <w:spacing w:val="12"/>
          <w:sz w:val="28"/>
          <w:szCs w:val="28"/>
        </w:rPr>
        <w:t xml:space="preserve">B. EMPLOYMENT AND PEOPLE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5714"/>
        <w:gridCol w:w="1503"/>
        <w:gridCol w:w="1503"/>
        <w:gridCol w:w="3909"/>
        <w:gridCol w:w="1808"/>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57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Item</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Requested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Received</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Severity</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Written key employment terms for every employee</w:t>
            </w:r>
            <w:r>
              <w:rPr>
                <w:rFonts w:ascii="Calibri" w:cs="Calibri" w:eastAsia="Calibri" w:hAnsi="Calibri"/>
                <w:sz w:val="15"/>
                <w:szCs w:val="15"/>
              </w:rPr>
              <w:t xml:space="preserve">, issued within 14 days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[Sample tested?]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Itemised payslips</w:t>
            </w:r>
            <w:r>
              <w:rPr>
                <w:rFonts w:ascii="Calibri" w:cs="Calibri" w:eastAsia="Calibri" w:hAnsi="Calibri"/>
                <w:sz w:val="15"/>
                <w:szCs w:val="15"/>
              </w:rPr>
              <w:t xml:space="preserve"> issued every salary period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CPF</w:t>
            </w:r>
            <w:r>
              <w:rPr>
                <w:rFonts w:ascii="Calibri" w:cs="Calibri" w:eastAsia="Calibri" w:hAnsi="Calibri"/>
                <w:sz w:val="15"/>
                <w:szCs w:val="15"/>
              </w:rPr>
              <w:t xml:space="preserve"> — contributions paid on time, correct wage base, correct age bands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[Arrears? Interest?]</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 CPF contributed for any work pass holder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Skills Development Levy paid for all employees including pass holders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B6</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Work passes — all current, correct roles, expiry dates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lapsed?]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B7</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Fair Consideration Framework advertising records for pass applications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B8</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Employment records and leave records retained as required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B9</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Contractor arrangements — genuine contractors or disguised employment?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[Classification tested?]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B10</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Employment claims, grievances or Tribunal proceedings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Work injury compensation insurance in force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Restrictive covenants for key employees — present and reasonable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Share scheme rules, grant letters and option register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 reconciles?]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B14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Undocumented equity promises</w:t>
            </w:r>
            <w:r>
              <w:rPr>
                <w:rFonts w:ascii="Calibri" w:cs="Calibri" w:eastAsia="Calibri" w:hAnsi="Calibri"/>
                <w:sz w:val="15"/>
                <w:szCs w:val="15"/>
              </w:rPr>
              <w:t xml:space="preserve"> to employees or advisers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[Asked directly?]</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bl>
    <w:p>
      <w:pPr>
        <w:spacing w:after="140"/>
      </w:pPr>
    </w:p>
    <w:p>
      <w:pPr>
        <w:spacing w:after="240" w:before="240"/>
        <w:jc w:val="center"/>
      </w:pPr>
      <w:r>
        <w:rPr>
          <w:rFonts w:ascii="Calibri" w:cs="Calibri" w:eastAsia="Calibri" w:hAnsi="Calibri"/>
          <w:b/>
          <w:bCs/>
          <w:color w:val="14161B"/>
          <w:spacing w:val="12"/>
          <w:sz w:val="28"/>
          <w:szCs w:val="28"/>
        </w:rPr>
        <w:t xml:space="preserve">C. INTELLECTUAL PROPERTY AND TECHNOLOGY</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5714"/>
        <w:gridCol w:w="1503"/>
        <w:gridCol w:w="1503"/>
        <w:gridCol w:w="3909"/>
        <w:gridCol w:w="1808"/>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57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Item</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Requested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Received</w:t>
            </w:r>
          </w:p>
        </w:tc>
        <w:tc>
          <w:tcPr>
            <w:tcW w:type="dxa" w:w="39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Issue</w:t>
            </w:r>
          </w:p>
        </w:tc>
        <w:tc>
          <w:tcPr>
            <w:tcW w:type="dxa" w:w="180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Severity</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C1</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Founder IP assignments</w:t>
            </w:r>
            <w:r>
              <w:rPr>
                <w:rFonts w:ascii="Calibri" w:cs="Calibri" w:eastAsia="Calibri" w:hAnsi="Calibri"/>
                <w:sz w:val="15"/>
                <w:szCs w:val="15"/>
              </w:rPr>
              <w:t xml:space="preserve">, covering pre-incorporation work</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[Executed?]</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C2</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Contractor and agency IP assignments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[Every contractor?]</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C3</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Employee contracts containing IP assignment</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C4</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Trade marks registered in Singapore and key markets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[Registered by the company or a founder personally?]</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C5</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Domain names and social handles — held by the company</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[Registered to an individual?]</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C6</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Open source inventory and licence review</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[Any copyleft obligations?]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C7</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Third party software licences and their assignability</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[Change of control clauses?]</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C8</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Source code escrow or repository access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C9</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IP infringement claims received or made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[NOTE]</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C10</w:t>
            </w:r>
          </w:p>
        </w:tc>
        <w:tc>
          <w:tcPr>
            <w:tcW w:type="dxa" w:w="571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Whether any founder is bound by a former employer’s covenants</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3909"/>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[Asked in writing?]</w:t>
            </w:r>
          </w:p>
        </w:tc>
        <w:tc>
          <w:tcPr>
            <w:tcW w:type="dxa" w:w="180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[H/M/L]</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240" w:before="240"/>
        <w:jc w:val="center"/>
      </w:pPr>
      <w:r>
        <w:rPr>
          <w:rFonts w:ascii="Calibri" w:cs="Calibri" w:eastAsia="Calibri" w:hAnsi="Calibri"/>
          <w:b/>
          <w:bCs/>
          <w:color w:val="14161B"/>
          <w:spacing w:val="12"/>
          <w:sz w:val="28"/>
          <w:szCs w:val="28"/>
        </w:rPr>
        <w:t xml:space="preserve">D. FINANCIAL, TAX AND COMMERCIAL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975"/>
        <w:gridCol w:w="2023"/>
        <w:gridCol w:w="115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Item</w:t>
            </w:r>
          </w:p>
        </w:tc>
        <w:tc>
          <w:tcPr>
            <w:tcW w:type="dxa" w:w="20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Issue</w:t>
            </w:r>
          </w:p>
        </w:tc>
        <w:tc>
          <w:tcPr>
            <w:tcW w:type="dxa" w:w="11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Severity</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Audited or unaudited financial statements for </w:t>
            </w:r>
            <w:r>
              <w:rPr>
                <w:rFonts w:ascii="Calibri" w:cs="Calibri" w:eastAsia="Calibri" w:hAnsi="Calibri"/>
                <w:b/>
                <w:bCs/>
                <w:sz w:val="16"/>
                <w:szCs w:val="16"/>
              </w:rPr>
              <w:t xml:space="preserve">[3]</w:t>
            </w:r>
            <w:r>
              <w:rPr>
                <w:rFonts w:ascii="Calibri" w:cs="Calibri" w:eastAsia="Calibri" w:hAnsi="Calibri"/>
                <w:sz w:val="16"/>
                <w:szCs w:val="16"/>
              </w:rPr>
              <w:t xml:space="preserve"> years; audit exemption basis if unaudited</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Management accounts and reconciliation to the statutory accounts</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Corporate tax returns filed; ECI filed; any assessment or dispute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GST registration status, returns filed, and correct rate applied</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InvoiceNow compliance date identified and readiness assessed</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 income reporting submitted by 1 March each year</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Withholding tax on payments to non-residents</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 and shareholder loans — documented?</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facilities, security granted, covenants and headroom</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Material customer contracts — terms, termination, change of control</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Customer concentration — largest customers as a share of revenue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Supplier contracts and any exclusivity or minimum commitment</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Leases — term, break, reinstatement obligation, and </w:t>
            </w:r>
            <w:r>
              <w:rPr>
                <w:rFonts w:ascii="Calibri" w:cs="Calibri" w:eastAsia="Calibri" w:hAnsi="Calibri"/>
                <w:b/>
                <w:bCs/>
                <w:sz w:val="16"/>
                <w:szCs w:val="16"/>
              </w:rPr>
              <w:t xml:space="preserve">stamping</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Insurance policies in force and adequate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Litigation, arbitration, regulatory investigation or letter of demand</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Licences and permits required for the business</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protection — DPO appointed and published; breach register; PDPA policy</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processing agreements with vendors handling personal data</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D19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 Not Call compliance for marketing</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D20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Anti-bribery, sanctions and export control exposure</w:t>
            </w:r>
          </w:p>
        </w:tc>
        <w:tc>
          <w:tcPr>
            <w:tcW w:type="dxa" w:w="202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15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[H/M/L]</w:t>
            </w:r>
          </w:p>
        </w:tc>
      </w:tr>
    </w:tbl>
    <w:p>
      <w:pPr>
        <w:spacing w:after="160"/>
      </w:pPr>
    </w:p>
    <w:p>
      <w:pPr>
        <w:spacing w:after="240" w:before="240"/>
        <w:jc w:val="center"/>
      </w:pPr>
      <w:r>
        <w:rPr>
          <w:rFonts w:ascii="Calibri" w:cs="Calibri" w:eastAsia="Calibri" w:hAnsi="Calibri"/>
          <w:b/>
          <w:bCs/>
          <w:color w:val="14161B"/>
          <w:spacing w:val="12"/>
          <w:sz w:val="28"/>
          <w:szCs w:val="28"/>
        </w:rPr>
        <w:t xml:space="preserve">FINDINGS SUMMARY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505"/>
        <w:gridCol w:w="771"/>
        <w:gridCol w:w="963"/>
        <w:gridCol w:w="2891"/>
        <w:gridCol w:w="2123"/>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Finding</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Area</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Severity</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Effect on the deal</w:t>
            </w:r>
          </w:p>
        </w:tc>
        <w:tc>
          <w:tcPr>
            <w:tcW w:type="dxa" w:w="212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Resolution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[High]</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[Condition precedent / price adjustment / warranty / indemnity / walk away]</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[Medium]</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[EFFECT]</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[DESCRIBE]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[Low]</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[EFFECT]</w:t>
            </w:r>
          </w:p>
        </w:tc>
        <w:tc>
          <w:tcPr>
            <w:tcW w:type="dxa" w:w="212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[ACTION]</w:t>
            </w:r>
          </w:p>
        </w:tc>
      </w:tr>
    </w:tbl>
    <w:p>
      <w:pPr>
        <w:spacing w:after="14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7325"/>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Resolution route</w:t>
            </w:r>
          </w:p>
        </w:tc>
        <w:tc>
          <w:tcPr>
            <w:tcW w:type="dxa" w:w="732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 appropriate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 before completion</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defect can be cured — execute the missing IP assignment, file the outstanding returns, set up the controllers register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Condition precedent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fix is essential and must be done before money moves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Specific indemnity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exposure is identified and quantifiable — CPF arrears, an unstamped transfer, a known claim</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Warranty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risk is unknown and general</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Price adjustment</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exposure is quantifiable and the seller will not indemnify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Walk away</w:t>
            </w:r>
          </w:p>
        </w:tc>
        <w:tc>
          <w:tcPr>
            <w:tcW w:type="dxa" w:w="732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core asset is not owned, or the compliance position cannot be remediated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Run the four high-yield checks first</w:t>
      </w:r>
    </w:p>
    <w:p>
      <w:pPr>
        <w:spacing w:after="60" w:line="264"/>
        <w:jc w:val="both"/>
      </w:pPr>
      <w:r>
        <w:rPr>
          <w:rFonts w:ascii="Calibri" w:cs="Calibri" w:eastAsia="Calibri" w:hAnsi="Calibri"/>
          <w:sz w:val="19"/>
          <w:szCs w:val="19"/>
        </w:rPr>
        <w:t xml:space="preserve">Unassigned founder IP, employment compliance, stale registers and undocumented founder loans account for most of what diligence actually finds in a Singapore company. Testing those four in the first week tells you whether the deal has a problem, before anyone has spent heavily on the rest.</w:t>
      </w:r>
    </w:p>
    <w:p>
      <w:pPr>
        <w:keepNext/>
        <w:spacing w:after="40" w:before="140"/>
      </w:pPr>
      <w:r>
        <w:rPr>
          <w:rFonts w:ascii="Calibri" w:cs="Calibri" w:eastAsia="Calibri" w:hAnsi="Calibri"/>
          <w:b/>
          <w:bCs/>
          <w:color w:val="14161B"/>
          <w:sz w:val="20"/>
          <w:szCs w:val="20"/>
        </w:rPr>
        <w:t xml:space="preserve">Unassigned IP is the one that can stop a deal</w:t>
      </w:r>
    </w:p>
    <w:p>
      <w:pPr>
        <w:spacing w:after="60" w:line="264"/>
        <w:jc w:val="both"/>
      </w:pPr>
      <w:r>
        <w:rPr>
          <w:rFonts w:ascii="Calibri" w:cs="Calibri" w:eastAsia="Calibri" w:hAnsi="Calibri"/>
          <w:sz w:val="19"/>
          <w:szCs w:val="19"/>
        </w:rPr>
        <w:t xml:space="preserve">Code, designs and brand created by founders before incorporation, or by contractors engaged without an assignment clause, belong to those individuals. Where the core product was built that way and a founder has since left on bad terms, the position may be very difficult to fix. Ask for the executed assignments, not a confirmation that they exist.</w:t>
      </w:r>
    </w:p>
    <w:p>
      <w:pPr>
        <w:keepNext/>
        <w:spacing w:after="40" w:before="140"/>
      </w:pPr>
      <w:r>
        <w:rPr>
          <w:rFonts w:ascii="Calibri" w:cs="Calibri" w:eastAsia="Calibri" w:hAnsi="Calibri"/>
          <w:b/>
          <w:bCs/>
          <w:color w:val="14161B"/>
          <w:sz w:val="20"/>
          <w:szCs w:val="20"/>
        </w:rPr>
        <w:t xml:space="preserve">Test employment compliance by sampling, not by asking</w:t>
      </w:r>
    </w:p>
    <w:p>
      <w:pPr>
        <w:spacing w:after="60" w:line="264"/>
        <w:jc w:val="both"/>
      </w:pPr>
      <w:r>
        <w:rPr>
          <w:rFonts w:ascii="Calibri" w:cs="Calibri" w:eastAsia="Calibri" w:hAnsi="Calibri"/>
          <w:sz w:val="19"/>
          <w:szCs w:val="19"/>
        </w:rPr>
        <w:t xml:space="preserve">Every company will say it issues key employment terms and payslips. Take five employee files and one payroll run and check. The specific things to test: written terms issued within fourteen days, itemised payslips every period, CPF on the correct wage base, </w:t>
      </w:r>
      <w:r>
        <w:rPr>
          <w:rFonts w:ascii="Calibri" w:cs="Calibri" w:eastAsia="Calibri" w:hAnsi="Calibri"/>
          <w:b/>
          <w:bCs/>
          <w:sz w:val="19"/>
          <w:szCs w:val="19"/>
        </w:rPr>
        <w:t xml:space="preserve">no CPF for pass holders</w:t>
      </w:r>
      <w:r>
        <w:rPr>
          <w:rFonts w:ascii="Calibri" w:cs="Calibri" w:eastAsia="Calibri" w:hAnsi="Calibri"/>
          <w:sz w:val="19"/>
          <w:szCs w:val="19"/>
        </w:rPr>
        <w:t xml:space="preserve">, and SDL paid for everyone including pass holders.</w:t>
      </w:r>
    </w:p>
    <w:p>
      <w:pPr>
        <w:keepNext/>
        <w:spacing w:after="40" w:before="140"/>
      </w:pPr>
      <w:r>
        <w:rPr>
          <w:rFonts w:ascii="Calibri" w:cs="Calibri" w:eastAsia="Calibri" w:hAnsi="Calibri"/>
          <w:b/>
          <w:bCs/>
          <w:color w:val="14161B"/>
          <w:sz w:val="20"/>
          <w:szCs w:val="20"/>
        </w:rPr>
        <w:t xml:space="preserve">Reconcile the cap table to the Registrar’s register</w:t>
      </w:r>
    </w:p>
    <w:p>
      <w:pPr>
        <w:spacing w:after="60" w:line="264"/>
        <w:jc w:val="both"/>
      </w:pPr>
      <w:r>
        <w:rPr>
          <w:rFonts w:ascii="Calibri" w:cs="Calibri" w:eastAsia="Calibri" w:hAnsi="Calibri"/>
          <w:sz w:val="19"/>
          <w:szCs w:val="19"/>
        </w:rPr>
        <w:t xml:space="preserve">For a private company, the register of members maintained by the Registrar is prima facie evidence of title. A spreadsheet cap table that does not match it is not the operative record. Allotments that were resolved but never filed are common, and the fix is administrative but must be done.</w:t>
      </w:r>
    </w:p>
    <w:p>
      <w:pPr>
        <w:keepNext/>
        <w:spacing w:after="40" w:before="140"/>
      </w:pPr>
      <w:r>
        <w:rPr>
          <w:rFonts w:ascii="Calibri" w:cs="Calibri" w:eastAsia="Calibri" w:hAnsi="Calibri"/>
          <w:b/>
          <w:bCs/>
          <w:color w:val="14161B"/>
          <w:sz w:val="20"/>
          <w:szCs w:val="20"/>
        </w:rPr>
        <w:t xml:space="preserve">Ask when controller verification notices were last sent</w:t>
      </w:r>
    </w:p>
    <w:p>
      <w:pPr>
        <w:spacing w:after="60" w:line="264"/>
        <w:jc w:val="both"/>
      </w:pPr>
      <w:r>
        <w:rPr>
          <w:rFonts w:ascii="Calibri" w:cs="Calibri" w:eastAsia="Calibri" w:hAnsi="Calibri"/>
          <w:sz w:val="19"/>
          <w:szCs w:val="19"/>
        </w:rPr>
        <w:t xml:space="preserve">The register of registrable controllers must be maintained, filed centrally, and verified by notice at least once each calendar year. Many companies set it up at incorporation and never touch it again. The annual notice question is a fast way to find out whether the register is real or decorative.</w:t>
      </w:r>
    </w:p>
    <w:p>
      <w:pPr>
        <w:keepNext/>
        <w:spacing w:after="40" w:before="140"/>
      </w:pPr>
      <w:r>
        <w:rPr>
          <w:rFonts w:ascii="Calibri" w:cs="Calibri" w:eastAsia="Calibri" w:hAnsi="Calibri"/>
          <w:b/>
          <w:bCs/>
          <w:color w:val="14161B"/>
          <w:sz w:val="20"/>
          <w:szCs w:val="20"/>
        </w:rPr>
        <w:t xml:space="preserve">Check that charges are registered and discharged</w:t>
      </w:r>
    </w:p>
    <w:p>
      <w:pPr>
        <w:spacing w:after="60" w:line="264"/>
        <w:jc w:val="both"/>
      </w:pPr>
      <w:r>
        <w:rPr>
          <w:rFonts w:ascii="Calibri" w:cs="Calibri" w:eastAsia="Calibri" w:hAnsi="Calibri"/>
          <w:sz w:val="19"/>
          <w:szCs w:val="19"/>
        </w:rPr>
        <w:t xml:space="preserve">A registrable charge not lodged in time is void against the liquidator — which affects the lender, not the target, but tells you something about the company. Undischarged charges over repaid debt obstruct future borrowing and are a straightforward pre-completion fix.</w:t>
      </w:r>
    </w:p>
    <w:p>
      <w:pPr>
        <w:keepNext/>
        <w:spacing w:after="40" w:before="140"/>
      </w:pPr>
      <w:r>
        <w:rPr>
          <w:rFonts w:ascii="Calibri" w:cs="Calibri" w:eastAsia="Calibri" w:hAnsi="Calibri"/>
          <w:b/>
          <w:bCs/>
          <w:color w:val="14161B"/>
          <w:sz w:val="20"/>
          <w:szCs w:val="20"/>
        </w:rPr>
        <w:t xml:space="preserve">Ask founders directly about loans and promises</w:t>
      </w:r>
    </w:p>
    <w:p>
      <w:pPr>
        <w:spacing w:after="60" w:line="264"/>
        <w:jc w:val="both"/>
      </w:pPr>
      <w:r>
        <w:rPr>
          <w:rFonts w:ascii="Calibri" w:cs="Calibri" w:eastAsia="Calibri" w:hAnsi="Calibri"/>
          <w:sz w:val="19"/>
          <w:szCs w:val="19"/>
        </w:rPr>
        <w:t xml:space="preserve">Money put into the company informally, and equity promised in a conversation or an offer letter and never granted, are both common and both surface after completion. Ask each founder in writing and reconcile to the ledger. A written no-claims confirmation at completion is worth having.</w:t>
      </w:r>
    </w:p>
    <w:p>
      <w:pPr>
        <w:keepNext/>
        <w:spacing w:after="40" w:before="140"/>
      </w:pPr>
      <w:r>
        <w:rPr>
          <w:rFonts w:ascii="Calibri" w:cs="Calibri" w:eastAsia="Calibri" w:hAnsi="Calibri"/>
          <w:b/>
          <w:bCs/>
          <w:color w:val="14161B"/>
          <w:sz w:val="20"/>
          <w:szCs w:val="20"/>
        </w:rPr>
        <w:t xml:space="preserve">Model the aggregate convertible dilution</w:t>
      </w:r>
    </w:p>
    <w:p>
      <w:pPr>
        <w:spacing w:after="60" w:line="264"/>
        <w:jc w:val="both"/>
      </w:pPr>
      <w:r>
        <w:rPr>
          <w:rFonts w:ascii="Calibri" w:cs="Calibri" w:eastAsia="Calibri" w:hAnsi="Calibri"/>
          <w:sz w:val="19"/>
          <w:szCs w:val="19"/>
        </w:rPr>
        <w:t xml:space="preserve">Where several convertible instruments are outstanding at different caps and discounts, the combined conversion frequently takes far more of the company than any single instrument suggests. Model it before agreeing a price, not after.</w:t>
      </w:r>
    </w:p>
    <w:p>
      <w:pPr>
        <w:keepNext/>
        <w:spacing w:after="40" w:before="140"/>
      </w:pPr>
      <w:r>
        <w:rPr>
          <w:rFonts w:ascii="Calibri" w:cs="Calibri" w:eastAsia="Calibri" w:hAnsi="Calibri"/>
          <w:b/>
          <w:bCs/>
          <w:color w:val="14161B"/>
          <w:sz w:val="20"/>
          <w:szCs w:val="20"/>
        </w:rPr>
        <w:t xml:space="preserve">Check the constitution against the shareholders’ agreement</w:t>
      </w:r>
    </w:p>
    <w:p>
      <w:pPr>
        <w:spacing w:after="60" w:line="264"/>
        <w:jc w:val="both"/>
      </w:pPr>
      <w:r>
        <w:rPr>
          <w:rFonts w:ascii="Calibri" w:cs="Calibri" w:eastAsia="Calibri" w:hAnsi="Calibri"/>
          <w:sz w:val="19"/>
          <w:szCs w:val="19"/>
        </w:rPr>
        <w:t xml:space="preserve">Inconsistency between the two is among the most common findings, usually because the Model Constitution was left in place while a bespoke agreement was negotiated. It produces resolutions that are valid under one and a breach of the other.</w:t>
      </w:r>
    </w:p>
    <w:p>
      <w:pPr>
        <w:keepNext/>
        <w:spacing w:after="40" w:before="140"/>
      </w:pPr>
      <w:r>
        <w:rPr>
          <w:rFonts w:ascii="Calibri" w:cs="Calibri" w:eastAsia="Calibri" w:hAnsi="Calibri"/>
          <w:b/>
          <w:bCs/>
          <w:color w:val="14161B"/>
          <w:sz w:val="20"/>
          <w:szCs w:val="20"/>
        </w:rPr>
        <w:t xml:space="preserve">Look for undisclosed side letters</w:t>
      </w:r>
    </w:p>
    <w:p>
      <w:pPr>
        <w:spacing w:after="60" w:line="264"/>
        <w:jc w:val="both"/>
      </w:pPr>
      <w:r>
        <w:rPr>
          <w:rFonts w:ascii="Calibri" w:cs="Calibri" w:eastAsia="Calibri" w:hAnsi="Calibri"/>
          <w:sz w:val="19"/>
          <w:szCs w:val="19"/>
        </w:rPr>
        <w:t xml:space="preserve">Investor side letters granting information rights, consent rights or most-favoured-nation terms are frequently absent from the data room because nobody thinks of them as part of the constitutional documents. Ask specifically.</w:t>
      </w:r>
    </w:p>
    <w:p>
      <w:pPr>
        <w:keepNext/>
        <w:spacing w:after="40" w:before="140"/>
      </w:pPr>
      <w:r>
        <w:rPr>
          <w:rFonts w:ascii="Calibri" w:cs="Calibri" w:eastAsia="Calibri" w:hAnsi="Calibri"/>
          <w:b/>
          <w:bCs/>
          <w:color w:val="14161B"/>
          <w:sz w:val="20"/>
          <w:szCs w:val="20"/>
        </w:rPr>
        <w:t xml:space="preserve">Test contractor classification</w:t>
      </w:r>
    </w:p>
    <w:p>
      <w:pPr>
        <w:spacing w:after="60" w:line="264"/>
        <w:jc w:val="both"/>
      </w:pPr>
      <w:r>
        <w:rPr>
          <w:rFonts w:ascii="Calibri" w:cs="Calibri" w:eastAsia="Calibri" w:hAnsi="Calibri"/>
          <w:sz w:val="19"/>
          <w:szCs w:val="19"/>
        </w:rPr>
        <w:t xml:space="preserve">Long-running consultants working full time under direction are employees in substance whatever the contract says, and the exposure — CPF arrears with interest, statutory entitlements — is retrospective. Sample the arrangements and apply the classification test.</w:t>
      </w:r>
    </w:p>
    <w:p>
      <w:pPr>
        <w:keepNext/>
        <w:spacing w:after="40" w:before="140"/>
      </w:pPr>
      <w:r>
        <w:rPr>
          <w:rFonts w:ascii="Calibri" w:cs="Calibri" w:eastAsia="Calibri" w:hAnsi="Calibri"/>
          <w:b/>
          <w:bCs/>
          <w:color w:val="14161B"/>
          <w:sz w:val="20"/>
          <w:szCs w:val="20"/>
        </w:rPr>
        <w:t xml:space="preserve">Check whether trade marks and domains are held personally</w:t>
      </w:r>
    </w:p>
    <w:p>
      <w:pPr>
        <w:spacing w:after="60" w:line="264"/>
        <w:jc w:val="both"/>
      </w:pPr>
      <w:r>
        <w:rPr>
          <w:rFonts w:ascii="Calibri" w:cs="Calibri" w:eastAsia="Calibri" w:hAnsi="Calibri"/>
          <w:sz w:val="19"/>
          <w:szCs w:val="19"/>
        </w:rPr>
        <w:t xml:space="preserve">Founders frequently register the brand and the domain in their own names before incorporation and never transfer them. It is easy to fix and easy to miss, and it becomes leverage if the founder leaves.</w:t>
      </w:r>
    </w:p>
    <w:p>
      <w:pPr>
        <w:keepNext/>
        <w:spacing w:after="40" w:before="140"/>
      </w:pPr>
      <w:r>
        <w:rPr>
          <w:rFonts w:ascii="Calibri" w:cs="Calibri" w:eastAsia="Calibri" w:hAnsi="Calibri"/>
          <w:b/>
          <w:bCs/>
          <w:color w:val="14161B"/>
          <w:sz w:val="20"/>
          <w:szCs w:val="20"/>
        </w:rPr>
        <w:t xml:space="preserve">Review the open source position properly</w:t>
      </w:r>
    </w:p>
    <w:p>
      <w:pPr>
        <w:spacing w:after="60" w:line="264"/>
        <w:jc w:val="both"/>
      </w:pPr>
      <w:r>
        <w:rPr>
          <w:rFonts w:ascii="Calibri" w:cs="Calibri" w:eastAsia="Calibri" w:hAnsi="Calibri"/>
          <w:sz w:val="19"/>
          <w:szCs w:val="19"/>
        </w:rPr>
        <w:t xml:space="preserve">Copyleft licences can require disclosure of the company’s own source code. For a software target this is a genuine risk, and founders often do not know what is in the stack. Ask for an inventory rather than an assurance.</w:t>
      </w:r>
    </w:p>
    <w:p>
      <w:pPr>
        <w:keepNext/>
        <w:spacing w:after="40" w:before="140"/>
      </w:pPr>
      <w:r>
        <w:rPr>
          <w:rFonts w:ascii="Calibri" w:cs="Calibri" w:eastAsia="Calibri" w:hAnsi="Calibri"/>
          <w:b/>
          <w:bCs/>
          <w:color w:val="14161B"/>
          <w:sz w:val="20"/>
          <w:szCs w:val="20"/>
        </w:rPr>
        <w:t xml:space="preserve">Match the resolution route to the finding</w:t>
      </w:r>
    </w:p>
    <w:p>
      <w:pPr>
        <w:spacing w:after="60" w:line="264"/>
        <w:jc w:val="both"/>
      </w:pPr>
      <w:r>
        <w:rPr>
          <w:rFonts w:ascii="Calibri" w:cs="Calibri" w:eastAsia="Calibri" w:hAnsi="Calibri"/>
          <w:sz w:val="19"/>
          <w:szCs w:val="19"/>
        </w:rPr>
        <w:t xml:space="preserve">Not every issue needs an indemnity. A missing IP assignment should be fixed before completion; a quantified CPF arrears exposure suits a specific indemnity; an unknown general risk is what warranties are for. Using warranties for everything leaves known problems unresolved.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register obligations, employment and CPF requirements, GST and e-invoicing rules and data protection obligations all change — have legal and tax diligence conducted by advisers for any material transaction, and use this list to scope rather than replace that work.</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2026-08-22T06:55:31.656Z</dcterms:created>
  <dcterms:modified xsi:type="dcterms:W3CDTF">2026-08-22T06:55:31.656Z</dcterms:modified>
</cp:coreProperties>
</file>

<file path=docProps/custom.xml><?xml version="1.0" encoding="utf-8"?>
<Properties xmlns="http://schemas.openxmlformats.org/officeDocument/2006/custom-properties" xmlns:vt="http://schemas.openxmlformats.org/officeDocument/2006/docPropsVTypes"/>
</file>