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PROTECTION OFFICER</w:t>
      </w:r>
    </w:p>
    <w:p>
      <w:pPr>
        <w:spacing w:after="260"/>
        <w:jc w:val="center"/>
      </w:pPr>
      <w:r>
        <w:rPr>
          <w:rFonts w:ascii="Calibri" w:cs="Calibri" w:eastAsia="Calibri" w:hAnsi="Calibri"/>
          <w:i/>
          <w:iCs/>
          <w:color w:val="6E7480"/>
          <w:sz w:val="19"/>
          <w:szCs w:val="19"/>
        </w:rPr>
        <w:t xml:space="preserve">Appointment and terms of reference</w:t>
      </w:r>
    </w:p>
    <w:p>
      <w:pPr>
        <w:spacing w:after="180" w:before="0" w:line="276"/>
        <w:jc w:val="both"/>
      </w:pPr>
      <w:r>
        <w:rPr>
          <w:rFonts w:ascii="Calibri" w:cs="Calibri" w:eastAsia="Calibri" w:hAnsi="Calibri"/>
          <w:i/>
          <w:iCs/>
          <w:color w:val="6E7480"/>
          <w:sz w:val="21"/>
          <w:szCs w:val="21"/>
        </w:rPr>
        <w:t xml:space="preserve">Appointing at least one Data Protection Officer is mandatory, and the officer’s business contact information must be made available to the public. The two failures that matter are appointing nobody, and appointing someone who has the title but neither the authority nor the time to do anything with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Appointed with effect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Reports to, for this role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 the Managing Director]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Deputy or alternate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contact — email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contact — telephone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contact — postal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[WEBSITE PRIVACY PAGE AND ANY OTHER LOCATION]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 allocation for this role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 OR DAYS PER MONTH]</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APPOINTMENT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Appointment as Data Protection Officer</w:t>
      </w:r>
    </w:p>
    <w:p>
      <w:pPr>
        <w:spacing w:after="140" w:before="0" w:line="276"/>
        <w:jc w:val="both"/>
      </w:pPr>
      <w:r>
        <w:rPr>
          <w:rFonts w:ascii="Calibri" w:cs="Calibri" w:eastAsia="Calibri" w:hAnsi="Calibri"/>
          <w:sz w:val="21"/>
          <w:szCs w:val="21"/>
        </w:rPr>
        <w:t xml:space="preserve">I am writing to confirm your appointment as the Company’s Data Protection Officer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in accordance with the Personal Data Protection Act 2012.</w:t>
      </w:r>
    </w:p>
    <w:p>
      <w:pPr>
        <w:spacing w:after="120" w:before="0" w:line="276"/>
        <w:jc w:val="both"/>
      </w:pPr>
      <w:r>
        <w:rPr>
          <w:rFonts w:ascii="Calibri" w:cs="Calibri" w:eastAsia="Calibri" w:hAnsi="Calibri"/>
          <w:b/>
          <w:bCs/>
          <w:sz w:val="21"/>
          <w:szCs w:val="21"/>
        </w:rPr>
        <w:t xml:space="preserve">The role.</w:t>
      </w:r>
      <w:r>
        <w:rPr>
          <w:rFonts w:ascii="Calibri" w:cs="Calibri" w:eastAsia="Calibri" w:hAnsi="Calibri"/>
          <w:sz w:val="21"/>
          <w:szCs w:val="21"/>
        </w:rPr>
        <w:t xml:space="preserve"> You are responsible for ensuring the Company complies with the Act. Your terms of reference are set out in the Schedule to this letter.</w:t>
      </w:r>
    </w:p>
    <w:p>
      <w:pPr>
        <w:spacing w:after="120" w:before="0" w:line="276"/>
        <w:jc w:val="both"/>
      </w:pPr>
      <w:r>
        <w:rPr>
          <w:rFonts w:ascii="Calibri" w:cs="Calibri" w:eastAsia="Calibri" w:hAnsi="Calibri"/>
          <w:b/>
          <w:bCs/>
          <w:sz w:val="21"/>
          <w:szCs w:val="21"/>
        </w:rPr>
        <w:t xml:space="preserve">Your contact details will be published.</w:t>
      </w:r>
      <w:r>
        <w:rPr>
          <w:rFonts w:ascii="Calibri" w:cs="Calibri" w:eastAsia="Calibri" w:hAnsi="Calibri"/>
          <w:sz w:val="21"/>
          <w:szCs w:val="21"/>
        </w:rPr>
        <w:t xml:space="preserve"> The Act requires the business contact information of the Data Protection Officer to be made available to the public. Your details as set out above will appear on the Company’s website and in its privacy notices. Please tell me if any of them need to change.</w:t>
      </w:r>
    </w:p>
    <w:p>
      <w:pPr>
        <w:spacing w:after="120" w:before="0" w:line="276"/>
        <w:jc w:val="both"/>
      </w:pPr>
      <w:r>
        <w:rPr>
          <w:rFonts w:ascii="Calibri" w:cs="Calibri" w:eastAsia="Calibri" w:hAnsi="Calibri"/>
          <w:b/>
          <w:bCs/>
          <w:sz w:val="21"/>
          <w:szCs w:val="21"/>
        </w:rPr>
        <w:t xml:space="preserve">Authority and access.</w:t>
      </w:r>
      <w:r>
        <w:rPr>
          <w:rFonts w:ascii="Calibri" w:cs="Calibri" w:eastAsia="Calibri" w:hAnsi="Calibri"/>
          <w:sz w:val="21"/>
          <w:szCs w:val="21"/>
        </w:rPr>
        <w:t xml:space="preserve"> You have direct access to </w:t>
      </w:r>
      <w:r>
        <w:rPr>
          <w:rFonts w:ascii="Calibri" w:cs="Calibri" w:eastAsia="Calibri" w:hAnsi="Calibri"/>
          <w:b/>
          <w:bCs/>
          <w:sz w:val="21"/>
          <w:szCs w:val="21"/>
        </w:rPr>
        <w:t xml:space="preserve">[the Board / the Managing Director]</w:t>
      </w:r>
      <w:r>
        <w:rPr>
          <w:rFonts w:ascii="Calibri" w:cs="Calibri" w:eastAsia="Calibri" w:hAnsi="Calibri"/>
          <w:sz w:val="21"/>
          <w:szCs w:val="21"/>
        </w:rPr>
        <w:t xml:space="preserve"> on any matter concerning data protection, without going through your usual reporting line. You may require any part of the business to provide information, and may instruct that a process be paused where you consider there is a serious risk of contravention, pending a decision by </w:t>
      </w:r>
      <w:r>
        <w:rPr>
          <w:rFonts w:ascii="Calibri" w:cs="Calibri" w:eastAsia="Calibri" w:hAnsi="Calibri"/>
          <w:b/>
          <w:bCs/>
          <w:sz w:val="21"/>
          <w:szCs w:val="21"/>
        </w:rPr>
        <w:t xml:space="preserve">[the Board / the Managing Director]</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Time and resources.</w:t>
      </w:r>
      <w:r>
        <w:rPr>
          <w:rFonts w:ascii="Calibri" w:cs="Calibri" w:eastAsia="Calibri" w:hAnsi="Calibri"/>
          <w:sz w:val="21"/>
          <w:szCs w:val="21"/>
        </w:rPr>
        <w:t xml:space="preserve"> The Company has allocated </w:t>
      </w:r>
      <w:r>
        <w:rPr>
          <w:rFonts w:ascii="Calibri" w:cs="Calibri" w:eastAsia="Calibri" w:hAnsi="Calibri"/>
          <w:b/>
          <w:bCs/>
          <w:sz w:val="21"/>
          <w:szCs w:val="21"/>
        </w:rPr>
        <w:t xml:space="preserve">[PERCENTAGE OR DAYS]</w:t>
      </w:r>
      <w:r>
        <w:rPr>
          <w:rFonts w:ascii="Calibri" w:cs="Calibri" w:eastAsia="Calibri" w:hAnsi="Calibri"/>
          <w:sz w:val="21"/>
          <w:szCs w:val="21"/>
        </w:rPr>
        <w:t xml:space="preserve"> to this role. A budget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is available for training, tools and external advice. If the allocation proves inadequate, tell me rather than absorbing it.</w:t>
      </w:r>
    </w:p>
    <w:p>
      <w:pPr>
        <w:spacing w:after="120" w:before="0" w:line="276"/>
        <w:jc w:val="both"/>
      </w:pPr>
      <w:r>
        <w:rPr>
          <w:rFonts w:ascii="Calibri" w:cs="Calibri" w:eastAsia="Calibri" w:hAnsi="Calibri"/>
          <w:b/>
          <w:bCs/>
          <w:sz w:val="21"/>
          <w:szCs w:val="21"/>
        </w:rPr>
        <w:t xml:space="preserve">Training.</w:t>
      </w:r>
      <w:r>
        <w:rPr>
          <w:rFonts w:ascii="Calibri" w:cs="Calibri" w:eastAsia="Calibri" w:hAnsi="Calibri"/>
          <w:sz w:val="21"/>
          <w:szCs w:val="21"/>
        </w:rPr>
        <w:t xml:space="preserve"> The Company will fund training appropriate to the role and will support your continued professional development in this area.</w:t>
      </w:r>
    </w:p>
    <w:p>
      <w:pPr>
        <w:spacing w:after="120" w:before="0" w:line="276"/>
        <w:jc w:val="both"/>
      </w:pPr>
      <w:r>
        <w:rPr>
          <w:rFonts w:ascii="Calibri" w:cs="Calibri" w:eastAsia="Calibri" w:hAnsi="Calibri"/>
          <w:b/>
          <w:bCs/>
          <w:sz w:val="21"/>
          <w:szCs w:val="21"/>
        </w:rPr>
        <w:t xml:space="preserve">Protection.</w:t>
      </w:r>
      <w:r>
        <w:rPr>
          <w:rFonts w:ascii="Calibri" w:cs="Calibri" w:eastAsia="Calibri" w:hAnsi="Calibri"/>
          <w:sz w:val="21"/>
          <w:szCs w:val="21"/>
        </w:rPr>
        <w:t xml:space="preserve"> You will not be disadvantaged for raising a data protection concern, for escalating a matter, or for advising against a course of action the business wishes to take. That protection is important to the role and I want it stated in writing.</w:t>
      </w:r>
    </w:p>
    <w:p>
      <w:pPr>
        <w:spacing w:after="120" w:before="0" w:line="276"/>
        <w:jc w:val="both"/>
      </w:pPr>
      <w:r>
        <w:rPr>
          <w:rFonts w:ascii="Calibri" w:cs="Calibri" w:eastAsia="Calibri" w:hAnsi="Calibri"/>
          <w:b/>
          <w:bCs/>
          <w:sz w:val="21"/>
          <w:szCs w:val="21"/>
        </w:rPr>
        <w:t xml:space="preserve">Deputy.</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is appointed as deputy so that access requests and breach reports are not delayed by absence. Please brief them and keep them current.</w:t>
      </w:r>
    </w:p>
    <w:p>
      <w:pPr>
        <w:spacing w:after="140" w:before="0" w:line="276"/>
        <w:jc w:val="both"/>
      </w:pPr>
      <w:r>
        <w:rPr>
          <w:rFonts w:ascii="Calibri" w:cs="Calibri" w:eastAsia="Calibri" w:hAnsi="Calibri"/>
          <w:b/>
          <w:bCs/>
          <w:sz w:val="21"/>
          <w:szCs w:val="21"/>
        </w:rPr>
        <w:t xml:space="preserve">Other duties.</w:t>
      </w:r>
      <w:r>
        <w:rPr>
          <w:rFonts w:ascii="Calibri" w:cs="Calibri" w:eastAsia="Calibri" w:hAnsi="Calibri"/>
          <w:sz w:val="21"/>
          <w:szCs w:val="21"/>
        </w:rPr>
        <w:t xml:space="preserve"> This appointment is in addition to your existing role. It does not alter your terms of employment.</w:t>
      </w:r>
    </w:p>
    <w:p>
      <w:pPr>
        <w:spacing w:after="160" w:before="0" w:line="276"/>
        <w:jc w:val="both"/>
      </w:pPr>
      <w:r>
        <w:rPr>
          <w:rFonts w:ascii="Calibri" w:cs="Calibri" w:eastAsia="Calibri" w:hAnsi="Calibri"/>
          <w:sz w:val="21"/>
          <w:szCs w:val="21"/>
        </w:rPr>
        <w:t xml:space="preserve">Please sign and return the acknowledgement below.</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Accepted</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Data Protection Officer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w:t>
      </w:r>
    </w:p>
    <w:p>
      <w:pPr>
        <w:spacing w:after="260"/>
        <w:jc w:val="center"/>
      </w:pPr>
      <w:r>
        <w:rPr>
          <w:rFonts w:ascii="Calibri" w:cs="Calibri" w:eastAsia="Calibri" w:hAnsi="Calibri"/>
          <w:i/>
          <w:iCs/>
          <w:color w:val="6E7480"/>
          <w:sz w:val="19"/>
          <w:szCs w:val="19"/>
        </w:rPr>
        <w:t xml:space="preserve">Terms of Reference</w:t>
      </w:r>
    </w:p>
    <w:p>
      <w:pPr>
        <w:keepNext/>
        <w:spacing w:after="120" w:before="280"/>
        <w:outlineLvl w:val="0"/>
      </w:pPr>
      <w:r>
        <w:rPr>
          <w:rFonts w:ascii="Calibri" w:cs="Calibri" w:eastAsia="Calibri" w:hAnsi="Calibri"/>
          <w:b/>
          <w:bCs/>
          <w:color w:val="14161B"/>
          <w:sz w:val="22"/>
          <w:szCs w:val="22"/>
        </w:rPr>
        <w:t xml:space="preserve">1. RESPONSIBILITIES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084"/>
        <w:gridCol w:w="2122"/>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Responsibility</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Output</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Ensure the Company complies with the Personal Data Protection Act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Compliance position reported to management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Develop, review and maintain data protection policies and practices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Policy set current and approved</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Maintain a record of the personal data held, why, where and for how long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inventory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Reviewed annually and on change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Handle access and correction requests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Request register; responses within the deadlines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received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Handle complaints and queries from individuals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Complaint log and outcomes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received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Lead breach assessment, containment and notification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Breach register; notifications made within the deadlines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they arise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 as the contact point for the Commission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Correspondence file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required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new systems, vendors and processing activities before launch</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Assessment record; sign-off before go-live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project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Maintain the register of processors and overseas transfers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Vendor register</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Reviewed annually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Ensure processor agreements contain the required protections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review record</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engagement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Deliver and record data protection training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records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Induction and annually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Oversee retention and secure disposal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Retention schedule applied and evidenced</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Oversee Do Not Call compliance for marketing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records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campaign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Report to management on the compliance position, incidents and risks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report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current with changes in the law and guidance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and updates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r>
    </w:tbl>
    <w:p>
      <w:pPr>
        <w:spacing w:after="160"/>
      </w:pPr>
    </w:p>
    <w:p>
      <w:pPr>
        <w:keepNext/>
        <w:spacing w:after="120" w:before="280"/>
        <w:outlineLvl w:val="0"/>
      </w:pPr>
      <w:r>
        <w:rPr>
          <w:rFonts w:ascii="Calibri" w:cs="Calibri" w:eastAsia="Calibri" w:hAnsi="Calibri"/>
          <w:b/>
          <w:bCs/>
          <w:color w:val="14161B"/>
          <w:sz w:val="22"/>
          <w:szCs w:val="22"/>
        </w:rPr>
        <w:t xml:space="preserve">2. AUTHORITY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Officer may require any employee, department or function to provide information necessary to carry out the role.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Officer has </w:t>
      </w:r>
      <w:r>
        <w:rPr>
          <w:rFonts w:ascii="Calibri" w:cs="Calibri" w:eastAsia="Calibri" w:hAnsi="Calibri"/>
          <w:b/>
          <w:bCs/>
          <w:sz w:val="21"/>
          <w:szCs w:val="21"/>
        </w:rPr>
        <w:t xml:space="preserve">direct access to </w:t>
      </w:r>
      <w:r>
        <w:rPr>
          <w:rFonts w:ascii="Calibri" w:cs="Calibri" w:eastAsia="Calibri" w:hAnsi="Calibri"/>
          <w:b/>
          <w:bCs/>
          <w:sz w:val="21"/>
          <w:szCs w:val="21"/>
        </w:rPr>
        <w:t xml:space="preserve">[the Board / the Managing Director]</w:t>
      </w:r>
      <w:r>
        <w:rPr>
          <w:rFonts w:ascii="Calibri" w:cs="Calibri" w:eastAsia="Calibri" w:hAnsi="Calibri"/>
          <w:sz w:val="21"/>
          <w:szCs w:val="21"/>
        </w:rPr>
        <w:t xml:space="preserve">, outside the normal reporting line, on any data protection matter.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Officer may recommend that a processing activity, system deployment or vendor engagement be paused where there is a serious risk of contravention, pending a decision at the level stated above.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Officer must be </w:t>
      </w:r>
      <w:r>
        <w:rPr>
          <w:rFonts w:ascii="Calibri" w:cs="Calibri" w:eastAsia="Calibri" w:hAnsi="Calibri"/>
          <w:b/>
          <w:bCs/>
          <w:sz w:val="21"/>
          <w:szCs w:val="21"/>
        </w:rPr>
        <w:t xml:space="preserve">consulted before</w:t>
      </w:r>
      <w:r>
        <w:rPr>
          <w:rFonts w:ascii="Calibri" w:cs="Calibri" w:eastAsia="Calibri" w:hAnsi="Calibri"/>
          <w:sz w:val="21"/>
          <w:szCs w:val="21"/>
        </w:rPr>
        <w:t xml:space="preserve"> a new system, product, vendor or processing activity involving personal data goes live, not after.</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Where management proceeds against the Officer’s advice, the advice and the decision will both be recorded.</w:t>
      </w:r>
    </w:p>
    <w:p>
      <w:pPr>
        <w:keepNext/>
        <w:spacing w:after="120" w:before="280"/>
        <w:outlineLvl w:val="0"/>
      </w:pPr>
      <w:r>
        <w:rPr>
          <w:rFonts w:ascii="Calibri" w:cs="Calibri" w:eastAsia="Calibri" w:hAnsi="Calibri"/>
          <w:b/>
          <w:bCs/>
          <w:color w:val="14161B"/>
          <w:sz w:val="22"/>
          <w:szCs w:val="22"/>
        </w:rPr>
        <w:t xml:space="preserve">3. INDEPENDENCE AND PROTECTION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Officer will not be penalised, disadvantaged or dismissed for performing the role, for escalating a concern, or for advising against a proposed course of action.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Officer holds another role, the Company will avoid assigning tasks that create a conflict — for example, being the person who both decides how personal data is used for a commercial purpose and assesses whether that use is compliant.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Officer’s performance in this role will be assessed on the quality of the compliance programme, not on whether business initiatives were approved.</w:t>
      </w:r>
    </w:p>
    <w:p>
      <w:pPr>
        <w:keepNext/>
        <w:spacing w:after="120" w:before="280"/>
        <w:outlineLvl w:val="0"/>
      </w:pPr>
      <w:r>
        <w:rPr>
          <w:rFonts w:ascii="Calibri" w:cs="Calibri" w:eastAsia="Calibri" w:hAnsi="Calibri"/>
          <w:b/>
          <w:bCs/>
          <w:color w:val="14161B"/>
          <w:sz w:val="22"/>
          <w:szCs w:val="22"/>
        </w:rPr>
        <w:t xml:space="preserve">4. RESOURCES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will allocate </w:t>
      </w:r>
      <w:r>
        <w:rPr>
          <w:rFonts w:ascii="Calibri" w:cs="Calibri" w:eastAsia="Calibri" w:hAnsi="Calibri"/>
          <w:b/>
          <w:bCs/>
          <w:sz w:val="21"/>
          <w:szCs w:val="21"/>
        </w:rPr>
        <w:t xml:space="preserve">[PERCENTAGE OR DAYS PER MONTH]</w:t>
      </w:r>
      <w:r>
        <w:rPr>
          <w:rFonts w:ascii="Calibri" w:cs="Calibri" w:eastAsia="Calibri" w:hAnsi="Calibri"/>
          <w:sz w:val="21"/>
          <w:szCs w:val="21"/>
        </w:rPr>
        <w:t xml:space="preserve"> to the role and will review the allocation annually.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budget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year is available for training, tools and external advice.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Officer may engage external legal or technical advice on a matter beyond the Company’s internal capability.</w:t>
      </w:r>
    </w:p>
    <w:p>
      <w:pPr>
        <w:keepNext/>
        <w:spacing w:after="120" w:before="280"/>
        <w:outlineLvl w:val="0"/>
      </w:pPr>
      <w:r>
        <w:rPr>
          <w:rFonts w:ascii="Calibri" w:cs="Calibri" w:eastAsia="Calibri" w:hAnsi="Calibri"/>
          <w:b/>
          <w:bCs/>
          <w:color w:val="14161B"/>
          <w:sz w:val="22"/>
          <w:szCs w:val="22"/>
        </w:rPr>
        <w:t xml:space="preserve">5. DEPUTY AND CONTINUITY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deputy is appointed and will be kept briefed so that requests and breach reports can be handled during absence.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On any change of Officer, the Company will appoint a successor </w:t>
      </w:r>
      <w:r>
        <w:rPr>
          <w:rFonts w:ascii="Calibri" w:cs="Calibri" w:eastAsia="Calibri" w:hAnsi="Calibri"/>
          <w:b/>
          <w:bCs/>
          <w:sz w:val="21"/>
          <w:szCs w:val="21"/>
        </w:rPr>
        <w:t xml:space="preserve">before</w:t>
      </w:r>
      <w:r>
        <w:rPr>
          <w:rFonts w:ascii="Calibri" w:cs="Calibri" w:eastAsia="Calibri" w:hAnsi="Calibri"/>
          <w:sz w:val="21"/>
          <w:szCs w:val="21"/>
        </w:rPr>
        <w:t xml:space="preserve"> the outgoing Officer leaves the role, update the published contact information promptly, and hand over the registers and open matters.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published contact information will be reviewed </w:t>
      </w:r>
      <w:r>
        <w:rPr>
          <w:rFonts w:ascii="Calibri" w:cs="Calibri" w:eastAsia="Calibri" w:hAnsi="Calibri"/>
          <w:b/>
          <w:bCs/>
          <w:sz w:val="21"/>
          <w:szCs w:val="21"/>
        </w:rPr>
        <w:t xml:space="preserve">[quarterly]</w:t>
      </w:r>
      <w:r>
        <w:rPr>
          <w:rFonts w:ascii="Calibri" w:cs="Calibri" w:eastAsia="Calibri" w:hAnsi="Calibri"/>
          <w:sz w:val="21"/>
          <w:szCs w:val="21"/>
        </w:rPr>
        <w:t xml:space="preserve"> to confirm it is monitored and current.</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Appointment is mandatory; publication is part of it</w:t>
      </w:r>
    </w:p>
    <w:p>
      <w:pPr>
        <w:spacing w:after="60" w:line="264"/>
        <w:jc w:val="both"/>
      </w:pPr>
      <w:r>
        <w:rPr>
          <w:rFonts w:ascii="Calibri" w:cs="Calibri" w:eastAsia="Calibri" w:hAnsi="Calibri"/>
          <w:sz w:val="19"/>
          <w:szCs w:val="19"/>
        </w:rPr>
        <w:t xml:space="preserve">Every organisation must appoint at least one individual as Data Protection Officer and make their business contact information available. Appointing someone but publishing nothing, or publishing an address nobody monitors, does not satisfy the requirement in substance and is easily checked.</w:t>
      </w:r>
    </w:p>
    <w:p>
      <w:pPr>
        <w:keepNext/>
        <w:spacing w:after="40" w:before="140"/>
      </w:pPr>
      <w:r>
        <w:rPr>
          <w:rFonts w:ascii="Calibri" w:cs="Calibri" w:eastAsia="Calibri" w:hAnsi="Calibri"/>
          <w:b/>
          <w:bCs/>
          <w:color w:val="14161B"/>
          <w:sz w:val="20"/>
          <w:szCs w:val="20"/>
        </w:rPr>
        <w:t xml:space="preserve">Publish a role address, not only a personal one</w:t>
      </w:r>
    </w:p>
    <w:p>
      <w:pPr>
        <w:spacing w:after="60" w:line="264"/>
        <w:jc w:val="both"/>
      </w:pPr>
      <w:r>
        <w:rPr>
          <w:rFonts w:ascii="Calibri" w:cs="Calibri" w:eastAsia="Calibri" w:hAnsi="Calibri"/>
          <w:sz w:val="19"/>
          <w:szCs w:val="19"/>
        </w:rPr>
        <w:t xml:space="preserve">A functional address such as a dedicated data protection mailbox survives the individual leaving, whereas a personal email does not. Ensure whichever is published is actually monitored, and that the deputy has access to it.</w:t>
      </w:r>
    </w:p>
    <w:p>
      <w:pPr>
        <w:keepNext/>
        <w:spacing w:after="40" w:before="140"/>
      </w:pPr>
      <w:r>
        <w:rPr>
          <w:rFonts w:ascii="Calibri" w:cs="Calibri" w:eastAsia="Calibri" w:hAnsi="Calibri"/>
          <w:b/>
          <w:bCs/>
          <w:color w:val="14161B"/>
          <w:sz w:val="20"/>
          <w:szCs w:val="20"/>
        </w:rPr>
        <w:t xml:space="preserve">The role can be part-time or outsourced — but it must be real</w:t>
      </w:r>
    </w:p>
    <w:p>
      <w:pPr>
        <w:spacing w:after="60" w:line="264"/>
        <w:jc w:val="both"/>
      </w:pPr>
      <w:r>
        <w:rPr>
          <w:rFonts w:ascii="Calibri" w:cs="Calibri" w:eastAsia="Calibri" w:hAnsi="Calibri"/>
          <w:sz w:val="19"/>
          <w:szCs w:val="19"/>
        </w:rPr>
        <w:t xml:space="preserve">The Act does not require a full-time officer, and many organisations assign the role alongside an existing job or outsource it. What it does require is that the person can actually discharge the responsibilities. An appointment with no time allocation, no budget and no authority is a title, and it will not help when a breach occurs.</w:t>
      </w:r>
    </w:p>
    <w:p>
      <w:pPr>
        <w:keepNext/>
        <w:spacing w:after="40" w:before="140"/>
      </w:pPr>
      <w:r>
        <w:rPr>
          <w:rFonts w:ascii="Calibri" w:cs="Calibri" w:eastAsia="Calibri" w:hAnsi="Calibri"/>
          <w:b/>
          <w:bCs/>
          <w:color w:val="14161B"/>
          <w:sz w:val="20"/>
          <w:szCs w:val="20"/>
        </w:rPr>
        <w:t xml:space="preserve">Name a deputy — the deadlines do not pause</w:t>
      </w:r>
    </w:p>
    <w:p>
      <w:pPr>
        <w:spacing w:after="60" w:line="264"/>
        <w:jc w:val="both"/>
      </w:pPr>
      <w:r>
        <w:rPr>
          <w:rFonts w:ascii="Calibri" w:cs="Calibri" w:eastAsia="Calibri" w:hAnsi="Calibri"/>
          <w:sz w:val="19"/>
          <w:szCs w:val="19"/>
        </w:rPr>
        <w:t xml:space="preserve">Access requests carry response deadlines and breach notification runs on a short clock from determination. A single officer on leave stops the process. Clause 5.1 is the cheapest control in this document.</w:t>
      </w:r>
    </w:p>
    <w:p>
      <w:pPr>
        <w:keepNext/>
        <w:spacing w:after="40" w:before="140"/>
      </w:pPr>
      <w:r>
        <w:rPr>
          <w:rFonts w:ascii="Calibri" w:cs="Calibri" w:eastAsia="Calibri" w:hAnsi="Calibri"/>
          <w:b/>
          <w:bCs/>
          <w:color w:val="14161B"/>
          <w:sz w:val="20"/>
          <w:szCs w:val="20"/>
        </w:rPr>
        <w:t xml:space="preserve">Avoid the conflict of interest</w:t>
      </w:r>
    </w:p>
    <w:p>
      <w:pPr>
        <w:spacing w:after="60" w:line="264"/>
        <w:jc w:val="both"/>
      </w:pPr>
      <w:r>
        <w:rPr>
          <w:rFonts w:ascii="Calibri" w:cs="Calibri" w:eastAsia="Calibri" w:hAnsi="Calibri"/>
          <w:sz w:val="19"/>
          <w:szCs w:val="19"/>
        </w:rPr>
        <w:t xml:space="preserve">Where the officer also owns the commercial use of personal data — running marketing, or owning the customer database strategy — they are assessing their own decisions. Clause 3.2 addresses it. In a small organisation perfect separation is impossible, but the conflict should at least be recognised and the assessment documented.</w:t>
      </w:r>
    </w:p>
    <w:p>
      <w:pPr>
        <w:keepNext/>
        <w:spacing w:after="40" w:before="140"/>
      </w:pPr>
      <w:r>
        <w:rPr>
          <w:rFonts w:ascii="Calibri" w:cs="Calibri" w:eastAsia="Calibri" w:hAnsi="Calibri"/>
          <w:b/>
          <w:bCs/>
          <w:color w:val="14161B"/>
          <w:sz w:val="20"/>
          <w:szCs w:val="20"/>
        </w:rPr>
        <w:t xml:space="preserve">Consultation before launch, not after</w:t>
      </w:r>
    </w:p>
    <w:p>
      <w:pPr>
        <w:spacing w:after="60" w:line="264"/>
        <w:jc w:val="both"/>
      </w:pPr>
      <w:r>
        <w:rPr>
          <w:rFonts w:ascii="Calibri" w:cs="Calibri" w:eastAsia="Calibri" w:hAnsi="Calibri"/>
          <w:sz w:val="19"/>
          <w:szCs w:val="19"/>
        </w:rPr>
        <w:t xml:space="preserve">Clause 2.4 requires the officer to be involved before a new system, vendor or processing activity goes live. Data protection problems discovered after launch are expensive to fix and often require the very thing the business least wants — turning something off. Build the sign-off into the project process.</w:t>
      </w:r>
    </w:p>
    <w:p>
      <w:pPr>
        <w:keepNext/>
        <w:spacing w:after="40" w:before="140"/>
      </w:pPr>
      <w:r>
        <w:rPr>
          <w:rFonts w:ascii="Calibri" w:cs="Calibri" w:eastAsia="Calibri" w:hAnsi="Calibri"/>
          <w:b/>
          <w:bCs/>
          <w:color w:val="14161B"/>
          <w:sz w:val="20"/>
          <w:szCs w:val="20"/>
        </w:rPr>
        <w:t xml:space="preserve">Record advice that is not followed</w:t>
      </w:r>
    </w:p>
    <w:p>
      <w:pPr>
        <w:spacing w:after="60" w:line="264"/>
        <w:jc w:val="both"/>
      </w:pPr>
      <w:r>
        <w:rPr>
          <w:rFonts w:ascii="Calibri" w:cs="Calibri" w:eastAsia="Calibri" w:hAnsi="Calibri"/>
          <w:sz w:val="19"/>
          <w:szCs w:val="19"/>
        </w:rPr>
        <w:t xml:space="preserve">Clause 2.5 requires both the advice and the contrary decision to be recorded. This protects the officer, gives management a clear-eyed view of accepted risk, and is precisely the record that matters if the risk materialises.</w:t>
      </w:r>
    </w:p>
    <w:p>
      <w:pPr>
        <w:keepNext/>
        <w:spacing w:after="40" w:before="140"/>
      </w:pPr>
      <w:r>
        <w:rPr>
          <w:rFonts w:ascii="Calibri" w:cs="Calibri" w:eastAsia="Calibri" w:hAnsi="Calibri"/>
          <w:b/>
          <w:bCs/>
          <w:color w:val="14161B"/>
          <w:sz w:val="20"/>
          <w:szCs w:val="20"/>
        </w:rPr>
        <w:t xml:space="preserve">Protect the officer explicitly</w:t>
      </w:r>
    </w:p>
    <w:p>
      <w:pPr>
        <w:spacing w:after="60" w:line="264"/>
        <w:jc w:val="both"/>
      </w:pPr>
      <w:r>
        <w:rPr>
          <w:rFonts w:ascii="Calibri" w:cs="Calibri" w:eastAsia="Calibri" w:hAnsi="Calibri"/>
          <w:sz w:val="19"/>
          <w:szCs w:val="19"/>
        </w:rPr>
        <w:t xml:space="preserve">An officer who fears career consequences for saying no will stop saying it, which defeats the appointment. The protection in Clause 3.1 is stated in the letter as well as the terms of reference because the person needs to have read it.</w:t>
      </w:r>
    </w:p>
    <w:p>
      <w:pPr>
        <w:keepNext/>
        <w:spacing w:after="40" w:before="140"/>
      </w:pPr>
      <w:r>
        <w:rPr>
          <w:rFonts w:ascii="Calibri" w:cs="Calibri" w:eastAsia="Calibri" w:hAnsi="Calibri"/>
          <w:b/>
          <w:bCs/>
          <w:color w:val="14161B"/>
          <w:sz w:val="20"/>
          <w:szCs w:val="20"/>
        </w:rPr>
        <w:t xml:space="preserve">Give the role real time</w:t>
      </w:r>
    </w:p>
    <w:p>
      <w:pPr>
        <w:spacing w:after="60" w:line="264"/>
        <w:jc w:val="both"/>
      </w:pPr>
      <w:r>
        <w:rPr>
          <w:rFonts w:ascii="Calibri" w:cs="Calibri" w:eastAsia="Calibri" w:hAnsi="Calibri"/>
          <w:sz w:val="19"/>
          <w:szCs w:val="19"/>
        </w:rPr>
        <w:t xml:space="preserve">The responsibilities in Section 1 — inventory, registers, request handling, breach response, vendor assessment, training, retention — are not absorbable in an afternoon a quarter. Estimate honestly and review the allocation, as Clause 4.1 requires. An officer quietly failing for lack of time is the most common form this appointment takes.</w:t>
      </w:r>
    </w:p>
    <w:p>
      <w:pPr>
        <w:keepNext/>
        <w:spacing w:after="40" w:before="140"/>
      </w:pPr>
      <w:r>
        <w:rPr>
          <w:rFonts w:ascii="Calibri" w:cs="Calibri" w:eastAsia="Calibri" w:hAnsi="Calibri"/>
          <w:b/>
          <w:bCs/>
          <w:color w:val="14161B"/>
          <w:sz w:val="20"/>
          <w:szCs w:val="20"/>
        </w:rPr>
        <w:t xml:space="preserve">The inventory underpins everything else</w:t>
      </w:r>
    </w:p>
    <w:p>
      <w:pPr>
        <w:spacing w:after="60" w:line="264"/>
        <w:jc w:val="both"/>
      </w:pPr>
      <w:r>
        <w:rPr>
          <w:rFonts w:ascii="Calibri" w:cs="Calibri" w:eastAsia="Calibri" w:hAnsi="Calibri"/>
          <w:sz w:val="19"/>
          <w:szCs w:val="19"/>
        </w:rPr>
        <w:t xml:space="preserve">Responsibility 3 — knowing what personal data is held, why, where and for how long — is the foundation for retention, breach assessment, access requests and vendor management. An organisation that cannot answer those questions cannot do any of the rest properly, and building the inventory is usually the officer’s first substantial task.</w:t>
      </w:r>
    </w:p>
    <w:p>
      <w:pPr>
        <w:keepNext/>
        <w:spacing w:after="40" w:before="140"/>
      </w:pPr>
      <w:r>
        <w:rPr>
          <w:rFonts w:ascii="Calibri" w:cs="Calibri" w:eastAsia="Calibri" w:hAnsi="Calibri"/>
          <w:b/>
          <w:bCs/>
          <w:color w:val="14161B"/>
          <w:sz w:val="20"/>
          <w:szCs w:val="20"/>
        </w:rPr>
        <w:t xml:space="preserve">Breach response is the responsibility that will be tested</w:t>
      </w:r>
    </w:p>
    <w:p>
      <w:pPr>
        <w:spacing w:after="60" w:line="264"/>
        <w:jc w:val="both"/>
      </w:pPr>
      <w:r>
        <w:rPr>
          <w:rFonts w:ascii="Calibri" w:cs="Calibri" w:eastAsia="Calibri" w:hAnsi="Calibri"/>
          <w:sz w:val="19"/>
          <w:szCs w:val="19"/>
        </w:rPr>
        <w:t xml:space="preserve">Assessment must be prompt and completed within thirty days; where notifiable, the Commission must be notified within three calendar days of that determination and individuals as soon as practicable. The officer should have a written response plan and should have walked through it before it is needed.</w:t>
      </w:r>
    </w:p>
    <w:p>
      <w:pPr>
        <w:keepNext/>
        <w:spacing w:after="40" w:before="140"/>
      </w:pPr>
      <w:r>
        <w:rPr>
          <w:rFonts w:ascii="Calibri" w:cs="Calibri" w:eastAsia="Calibri" w:hAnsi="Calibri"/>
          <w:b/>
          <w:bCs/>
          <w:color w:val="14161B"/>
          <w:sz w:val="20"/>
          <w:szCs w:val="20"/>
        </w:rPr>
        <w:t xml:space="preserve">Do Not Call sits here too</w:t>
      </w:r>
    </w:p>
    <w:p>
      <w:pPr>
        <w:spacing w:after="60" w:line="264"/>
        <w:jc w:val="both"/>
      </w:pPr>
      <w:r>
        <w:rPr>
          <w:rFonts w:ascii="Calibri" w:cs="Calibri" w:eastAsia="Calibri" w:hAnsi="Calibri"/>
          <w:sz w:val="19"/>
          <w:szCs w:val="19"/>
        </w:rPr>
        <w:t xml:space="preserve">Marketing to Singapore telephone numbers engages separate obligations, and enforcement in this area is common. Responsibility 13 puts it explicitly within the role rather than leaving it with marketing, where it is frequently overlooked.</w:t>
      </w:r>
    </w:p>
    <w:p>
      <w:pPr>
        <w:keepNext/>
        <w:spacing w:after="40" w:before="140"/>
      </w:pPr>
      <w:r>
        <w:rPr>
          <w:rFonts w:ascii="Calibri" w:cs="Calibri" w:eastAsia="Calibri" w:hAnsi="Calibri"/>
          <w:b/>
          <w:bCs/>
          <w:color w:val="14161B"/>
          <w:sz w:val="20"/>
          <w:szCs w:val="20"/>
        </w:rPr>
        <w:t xml:space="preserve">Handover matters</w:t>
      </w:r>
    </w:p>
    <w:p>
      <w:pPr>
        <w:spacing w:after="60" w:line="264"/>
        <w:jc w:val="both"/>
      </w:pPr>
      <w:r>
        <w:rPr>
          <w:rFonts w:ascii="Calibri" w:cs="Calibri" w:eastAsia="Calibri" w:hAnsi="Calibri"/>
          <w:sz w:val="19"/>
          <w:szCs w:val="19"/>
        </w:rPr>
        <w:t xml:space="preserve">When the officer changes, the registers, open requests, live breach matters and vendor records must transfer, and the published contact must be updated promptly. Appointing a successor only after the incumbent has left leaves a gap in a mandatory role.</w:t>
      </w:r>
    </w:p>
    <w:p>
      <w:pPr>
        <w:keepNext/>
        <w:spacing w:after="40" w:before="140"/>
      </w:pPr>
      <w:r>
        <w:rPr>
          <w:rFonts w:ascii="Calibri" w:cs="Calibri" w:eastAsia="Calibri" w:hAnsi="Calibri"/>
          <w:b/>
          <w:bCs/>
          <w:color w:val="14161B"/>
          <w:sz w:val="20"/>
          <w:szCs w:val="20"/>
        </w:rPr>
        <w:t xml:space="preserve">Report quarterly, in writing</w:t>
      </w:r>
    </w:p>
    <w:p>
      <w:pPr>
        <w:spacing w:after="60" w:line="264"/>
        <w:jc w:val="both"/>
      </w:pPr>
      <w:r>
        <w:rPr>
          <w:rFonts w:ascii="Calibri" w:cs="Calibri" w:eastAsia="Calibri" w:hAnsi="Calibri"/>
          <w:sz w:val="19"/>
          <w:szCs w:val="19"/>
        </w:rPr>
        <w:t xml:space="preserve">A written report to management on the compliance position, incidents and risks does two things: it keeps data protection visible at the level that can fund it, and it evidences that the appointment is operating. Verbal updates leave no record that the role existed.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Personal Data Protection Act has been amended and further provisions, including data portability, may come into force — confirm the current requirements and guidance, and review these terms of reference annually.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2026-08-22T06:55:29.912Z</dcterms:created>
  <dcterms:modified xsi:type="dcterms:W3CDTF">2026-08-22T06:55:29.912Z</dcterms:modified>
</cp:coreProperties>
</file>

<file path=docProps/custom.xml><?xml version="1.0" encoding="utf-8"?>
<Properties xmlns="http://schemas.openxmlformats.org/officeDocument/2006/custom-properties" xmlns:vt="http://schemas.openxmlformats.org/officeDocument/2006/docPropsVTypes"/>
</file>