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DO NOT CALL COMPLIANCE</w:t>
      </w:r>
    </w:p>
    <w:p>
      <w:pPr>
        <w:spacing w:after="260"/>
        <w:jc w:val="center"/>
      </w:pPr>
      <w:r>
        <w:rPr>
          <w:rFonts w:ascii="Calibri" w:cs="Calibri" w:eastAsia="Calibri" w:hAnsi="Calibri"/>
          <w:i/>
          <w:iCs/>
          <w:color w:val="6E7480"/>
          <w:sz w:val="19"/>
          <w:szCs w:val="19"/>
        </w:rPr>
        <w:t xml:space="preserve">Marketing messages to Singapore telephone numbers</w:t>
      </w:r>
    </w:p>
    <w:p>
      <w:pPr>
        <w:spacing w:after="180" w:before="0" w:line="276"/>
        <w:jc w:val="both"/>
      </w:pPr>
      <w:r>
        <w:rPr>
          <w:rFonts w:ascii="Calibri" w:cs="Calibri" w:eastAsia="Calibri" w:hAnsi="Calibri"/>
          <w:i/>
          <w:iCs/>
          <w:color w:val="6E7480"/>
          <w:sz w:val="21"/>
          <w:szCs w:val="21"/>
        </w:rPr>
        <w:t xml:space="preserve">The Do Not Call obligations sit alongside the data protection ones and are frequently overlooked because marketing teams reasonably assume that consent to receive marketing settles the matter. It does not. A person may have consented and still be on the Registry, and overriding that requires clear and unambiguous consent in evidential form.</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6554"/>
      </w:tblGrid>
      <w:tr>
        <w:trPr>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5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Organisation</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Data Protection Officer</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[EMAIL]</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Marketing owner</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Registry account</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[ACCOUNT REFERENCE]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Channels used</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[Voice call / Text message / Fax / Email]</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Checking process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[Manual upload / API / Agency-managed]</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Agency, if any</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 </w:t>
            </w:r>
            <w:r>
              <w:rPr>
                <w:rFonts w:ascii="Calibri" w:cs="Calibri" w:eastAsia="Calibri" w:hAnsi="Calibri"/>
                <w:i/>
                <w:iCs/>
                <w:sz w:val="19"/>
                <w:szCs w:val="19"/>
              </w:rPr>
              <w:t xml:space="preserve">the obligation remains ours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Last review</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WHAT IS COVERED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1927"/>
        <w:gridCol w:w="4435"/>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Channel</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Registry applies?</w:t>
            </w:r>
          </w:p>
        </w:tc>
        <w:tc>
          <w:tcPr>
            <w:tcW w:type="dxa" w:w="443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Voice call</w:t>
            </w:r>
            <w:r>
              <w:rPr>
                <w:rFonts w:ascii="Calibri" w:cs="Calibri" w:eastAsia="Calibri" w:hAnsi="Calibri"/>
                <w:sz w:val="18"/>
                <w:szCs w:val="18"/>
              </w:rPr>
              <w:t xml:space="preserve"> to a Singapore telephone number</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Includes calls made from overseas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Text message</w:t>
            </w:r>
            <w:r>
              <w:rPr>
                <w:rFonts w:ascii="Calibri" w:cs="Calibri" w:eastAsia="Calibri" w:hAnsi="Calibri"/>
                <w:sz w:val="18"/>
                <w:szCs w:val="18"/>
              </w:rPr>
              <w:t xml:space="preserve"> to a Singapore telephone number</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Includes messages sent through messaging platforms to a number</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Fax</w:t>
            </w:r>
            <w:r>
              <w:rPr>
                <w:rFonts w:ascii="Calibri" w:cs="Calibri" w:eastAsia="Calibri" w:hAnsi="Calibri"/>
                <w:sz w:val="18"/>
                <w:szCs w:val="18"/>
              </w:rPr>
              <w:t xml:space="preserve"> to a Singapore number</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435"/>
            <w:tcMar>
              <w:top w:type="dxa" w:w="70"/>
              <w:left w:type="dxa" w:w="100"/>
              <w:bottom w:type="dxa" w:w="70"/>
              <w:right w:type="dxa" w:w="100"/>
            </w:tcMar>
            <w:vAlign w:val="center"/>
          </w:tcPr>
          <w:p>
            <w:pPr>
              <w:spacing w:after="0" w:line="240"/>
              <w:jc w:val="left"/>
            </w:pP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Email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 — Registry does not apply</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Data protection consent obligations still apply, and unsolicited commercial email rules may apply separately</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Messages to an overseas number</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receiving jurisdiction’s rules may apply</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Non-marketing messages — service, transaction, safety</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w:t>
            </w:r>
          </w:p>
        </w:tc>
        <w:tc>
          <w:tcPr>
            <w:tcW w:type="dxa" w:w="443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But be careful: a service message carrying a promotion becomes a marketing message</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A message is a </w:t>
      </w:r>
      <w:r>
        <w:rPr>
          <w:rFonts w:ascii="Calibri" w:cs="Calibri" w:eastAsia="Calibri" w:hAnsi="Calibri"/>
          <w:b/>
          <w:bCs/>
          <w:sz w:val="21"/>
          <w:szCs w:val="21"/>
        </w:rPr>
        <w:t xml:space="preserve">specified message</w:t>
      </w:r>
      <w:r>
        <w:rPr>
          <w:rFonts w:ascii="Calibri" w:cs="Calibri" w:eastAsia="Calibri" w:hAnsi="Calibri"/>
          <w:sz w:val="21"/>
          <w:szCs w:val="21"/>
        </w:rPr>
        <w:t xml:space="preserve"> where one of its purposes is to offer, advertise or promote goods, services, land, an interest in land, a business or investment opportunity, or a supplier of any of these.</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i/>
          <w:iCs/>
          <w:sz w:val="21"/>
          <w:szCs w:val="21"/>
        </w:rPr>
        <w:t xml:space="preserve">The test is purpose, not framing. A delivery notification that also promotes a sale is a marketing message. So is a "customer satisfaction survey" that ends with an offer.</w:t>
      </w:r>
    </w:p>
    <w:p>
      <w:pPr>
        <w:keepNext/>
        <w:spacing w:after="120" w:before="280"/>
        <w:outlineLvl w:val="0"/>
      </w:pPr>
      <w:r>
        <w:rPr>
          <w:rFonts w:ascii="Calibri" w:cs="Calibri" w:eastAsia="Calibri" w:hAnsi="Calibri"/>
          <w:b/>
          <w:bCs/>
          <w:color w:val="14161B"/>
          <w:sz w:val="22"/>
          <w:szCs w:val="22"/>
        </w:rPr>
        <w:t xml:space="preserve">2. BEFORE SENDING</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Unless an exception applies, the Company must </w:t>
      </w:r>
      <w:r>
        <w:rPr>
          <w:rFonts w:ascii="Calibri" w:cs="Calibri" w:eastAsia="Calibri" w:hAnsi="Calibri"/>
          <w:b/>
          <w:bCs/>
          <w:sz w:val="21"/>
          <w:szCs w:val="21"/>
        </w:rPr>
        <w:t xml:space="preserve">check the number against the relevant Registry</w:t>
      </w:r>
      <w:r>
        <w:rPr>
          <w:rFonts w:ascii="Calibri" w:cs="Calibri" w:eastAsia="Calibri" w:hAnsi="Calibri"/>
          <w:sz w:val="21"/>
          <w:szCs w:val="21"/>
        </w:rPr>
        <w:t xml:space="preserve"> before sending, and must not send where the number is listed.</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There are separate registers for voice calls, text messages and faxes. </w:t>
      </w:r>
      <w:r>
        <w:rPr>
          <w:rFonts w:ascii="Calibri" w:cs="Calibri" w:eastAsia="Calibri" w:hAnsi="Calibri"/>
          <w:b/>
          <w:bCs/>
          <w:sz w:val="21"/>
          <w:szCs w:val="21"/>
        </w:rPr>
        <w:t xml:space="preserve">Check the register applicable to the channel being used</w:t>
      </w:r>
      <w:r>
        <w:rPr>
          <w:rFonts w:ascii="Calibri" w:cs="Calibri" w:eastAsia="Calibri" w:hAnsi="Calibri"/>
          <w:sz w:val="21"/>
          <w:szCs w:val="21"/>
        </w:rPr>
        <w:t xml:space="preserve">, not merely one of them.</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A Registry check result is valid for the prescribed period. The Company will record the </w:t>
      </w:r>
      <w:r>
        <w:rPr>
          <w:rFonts w:ascii="Calibri" w:cs="Calibri" w:eastAsia="Calibri" w:hAnsi="Calibri"/>
          <w:b/>
          <w:bCs/>
          <w:sz w:val="21"/>
          <w:szCs w:val="21"/>
        </w:rPr>
        <w:t xml:space="preserve">date of every check</w:t>
      </w:r>
      <w:r>
        <w:rPr>
          <w:rFonts w:ascii="Calibri" w:cs="Calibri" w:eastAsia="Calibri" w:hAnsi="Calibri"/>
          <w:sz w:val="21"/>
          <w:szCs w:val="21"/>
        </w:rPr>
        <w:t xml:space="preserve"> and will not rely on a stale result.</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Company will retain evidence of the check for each campaign.</w:t>
      </w:r>
    </w:p>
    <w:p>
      <w:pPr>
        <w:keepNext/>
        <w:spacing w:after="120" w:before="280"/>
        <w:outlineLvl w:val="0"/>
      </w:pPr>
      <w:r>
        <w:rPr>
          <w:rFonts w:ascii="Calibri" w:cs="Calibri" w:eastAsia="Calibri" w:hAnsi="Calibri"/>
          <w:b/>
          <w:bCs/>
          <w:color w:val="14161B"/>
          <w:sz w:val="22"/>
          <w:szCs w:val="22"/>
        </w:rPr>
        <w:t xml:space="preserve">3. WHEN YOU MAY SEND TO A LISTED NUMBER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3855"/>
        <w:gridCol w:w="3278"/>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Basis</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What is required</w:t>
            </w:r>
          </w:p>
        </w:tc>
        <w:tc>
          <w:tcPr>
            <w:tcW w:type="dxa" w:w="32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Practical note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Clear and unambiguous consent</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Consent given in </w:t>
            </w:r>
            <w:r>
              <w:rPr>
                <w:rFonts w:ascii="Calibri" w:cs="Calibri" w:eastAsia="Calibri" w:hAnsi="Calibri"/>
                <w:b/>
                <w:bCs/>
                <w:sz w:val="17"/>
                <w:szCs w:val="17"/>
              </w:rPr>
              <w:t xml:space="preserve">evidential form</w:t>
            </w:r>
            <w:r>
              <w:rPr>
                <w:rFonts w:ascii="Calibri" w:cs="Calibri" w:eastAsia="Calibri" w:hAnsi="Calibri"/>
                <w:sz w:val="17"/>
                <w:szCs w:val="17"/>
              </w:rPr>
              <w:t xml:space="preserve"> — written or recorded — to receive that type of message on that number</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tick box buried in terms is unlikely to qualify. Ask separately, record what was asked and when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Ongoing relationship exemption</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an ongoing relationship exists and the message relates to a subject reasonably related to that relationship</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the current scope and conditions — this exemption is defined narrowly and is not a general permission to market</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Business-to-business exemption</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the conditions for business contact information apply</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the current position; do not assume a work number is outside the rules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Withdrawal received</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 a basis — stop</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Once withdrawn, stop regardless of any prior consent or exemption</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Consent may be </w:t>
      </w:r>
      <w:r>
        <w:rPr>
          <w:rFonts w:ascii="Calibri" w:cs="Calibri" w:eastAsia="Calibri" w:hAnsi="Calibri"/>
          <w:b/>
          <w:bCs/>
          <w:sz w:val="21"/>
          <w:szCs w:val="21"/>
        </w:rPr>
        <w:t xml:space="preserve">withdrawn at any time</w:t>
      </w:r>
      <w:r>
        <w:rPr>
          <w:rFonts w:ascii="Calibri" w:cs="Calibri" w:eastAsia="Calibri" w:hAnsi="Calibri"/>
          <w:sz w:val="21"/>
          <w:szCs w:val="21"/>
        </w:rPr>
        <w:t xml:space="preserve">. On receiving a withdrawal the Company must stop sending that type of message to that number within the prescribed period.</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Every marketing message must </w:t>
      </w:r>
      <w:r>
        <w:rPr>
          <w:rFonts w:ascii="Calibri" w:cs="Calibri" w:eastAsia="Calibri" w:hAnsi="Calibri"/>
          <w:b/>
          <w:bCs/>
          <w:sz w:val="21"/>
          <w:szCs w:val="21"/>
        </w:rPr>
        <w:t xml:space="preserve">identify the sender</w:t>
      </w:r>
      <w:r>
        <w:rPr>
          <w:rFonts w:ascii="Calibri" w:cs="Calibri" w:eastAsia="Calibri" w:hAnsi="Calibri"/>
          <w:sz w:val="21"/>
          <w:szCs w:val="21"/>
        </w:rPr>
        <w:t xml:space="preserve"> and provide contact information enabling the recipient to contact the sender readily.</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Calling line identity must not be concealed or falsified.</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CAMPAIGN PROCESS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493"/>
        <w:gridCol w:w="1927"/>
        <w:gridCol w:w="1737"/>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549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Owner</w:t>
            </w:r>
          </w:p>
        </w:tc>
        <w:tc>
          <w:tcPr>
            <w:tcW w:type="dxa" w:w="173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549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Determine whether the message is a specified message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[Marketing]</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549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Identify the channel and therefore which register applies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[Marketing]</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549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Separate the list into: consented, exemption relied on, and to be checked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[Marketing]</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549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For consented numbers, verify the consent record is in evidential form and covers this channel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[DPO]</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549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For exemptions, record which exemption and why it applies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[DPO]</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549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Check remaining numbers against the applicable Registry</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[Marketing]</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549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Remove listed numbers with no consent or exemption</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[Marketing]</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549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Apply the internal withdrawal list — remove anyone who has opted out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[Marketing]</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549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the message identifies the sender and gives contact information</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[Marketing]</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549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an opt-out route is included and works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[Marketing]</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549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Retain the check result, the final list and the message content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[Marketing]</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549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Send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[Marketing]</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549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Process withdrawals received within the prescribed period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[Marketing]</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14</w:t>
            </w:r>
          </w:p>
        </w:tc>
        <w:tc>
          <w:tcPr>
            <w:tcW w:type="dxa" w:w="549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Update the internal withdrawal list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[DPO]</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60"/>
      </w:pPr>
    </w:p>
    <w:p>
      <w:pPr>
        <w:keepNext/>
        <w:spacing w:after="120" w:before="280"/>
        <w:outlineLvl w:val="0"/>
      </w:pPr>
      <w:r>
        <w:rPr>
          <w:rFonts w:ascii="Calibri" w:cs="Calibri" w:eastAsia="Calibri" w:hAnsi="Calibri"/>
          <w:b/>
          <w:bCs/>
          <w:color w:val="14161B"/>
          <w:sz w:val="22"/>
          <w:szCs w:val="22"/>
        </w:rPr>
        <w:t xml:space="preserve">5. INTERNAL WITHDRAWAL LIST</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Company will maintain a single internal list of every person who has withdrawn consent or asked not to be contacted, </w:t>
      </w:r>
      <w:r>
        <w:rPr>
          <w:rFonts w:ascii="Calibri" w:cs="Calibri" w:eastAsia="Calibri" w:hAnsi="Calibri"/>
          <w:b/>
          <w:bCs/>
          <w:sz w:val="21"/>
          <w:szCs w:val="21"/>
        </w:rPr>
        <w:t xml:space="preserve">regardless of which channel or campaign the request came through</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list will be applied to every campaign before sending.</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A withdrawal received by any route — a reply, a phone call, an email, a conversation with a salesperson — counts. It is not limited to using a designated unsubscribe mechanism.</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i/>
          <w:iCs/>
          <w:sz w:val="21"/>
          <w:szCs w:val="21"/>
        </w:rPr>
        <w:t xml:space="preserve">Withdrawals communicated to one team and not recorded centrally are the most common cause of a repeat contact after opt-out, which is also the complaint most likely to be pursued.</w:t>
      </w:r>
    </w:p>
    <w:p>
      <w:pPr>
        <w:keepNext/>
        <w:spacing w:after="120" w:before="280"/>
        <w:outlineLvl w:val="0"/>
      </w:pPr>
      <w:r>
        <w:rPr>
          <w:rFonts w:ascii="Calibri" w:cs="Calibri" w:eastAsia="Calibri" w:hAnsi="Calibri"/>
          <w:b/>
          <w:bCs/>
          <w:color w:val="14161B"/>
          <w:sz w:val="22"/>
          <w:szCs w:val="22"/>
        </w:rPr>
        <w:t xml:space="preserve">6. AGENCIES AND VENDORS</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Where a marketing agency, call centre or platform sends on the Company’s behalf, </w:t>
      </w:r>
      <w:r>
        <w:rPr>
          <w:rFonts w:ascii="Calibri" w:cs="Calibri" w:eastAsia="Calibri" w:hAnsi="Calibri"/>
          <w:b/>
          <w:bCs/>
          <w:sz w:val="21"/>
          <w:szCs w:val="21"/>
        </w:rPr>
        <w:t xml:space="preserve">the obligation remains the Company’s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Agency contracts will require Registry checking, respect for the internal withdrawal list, sender identification, retention of evidence, and provision of that evidence to the Company on request.</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The Company will obtain, for each campaign run by an agency, evidence of the Registry check and the final send list.</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The Company will not purchase or use contact lists where it cannot establish how the numbers were obtained and whether consent exists.</w:t>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Campaign Register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
        <w:gridCol w:w="1156"/>
        <w:gridCol w:w="674"/>
        <w:gridCol w:w="771"/>
        <w:gridCol w:w="963"/>
        <w:gridCol w:w="771"/>
        <w:gridCol w:w="867"/>
        <w:gridCol w:w="867"/>
        <w:gridCol w:w="963"/>
        <w:gridCol w:w="674"/>
        <w:gridCol w:w="867"/>
        <w:gridCol w:w="776"/>
      </w:tblGrid>
      <w:tr>
        <w:trPr>
          <w:tblHeader/>
        </w:trPr>
        <w:tc>
          <w:tcPr>
            <w:tcW w:type="dxa" w:w="28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Campaign</w:t>
            </w:r>
          </w:p>
        </w:tc>
        <w:tc>
          <w:tcPr>
            <w:tcW w:type="dxa" w:w="67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Channel</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Register checked</w:t>
            </w:r>
          </w:p>
        </w:tc>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Check date</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Numbers on list</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Removed — listed</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Removed — withdrawn</w:t>
            </w:r>
          </w:p>
        </w:tc>
        <w:tc>
          <w:tcPr>
            <w:tcW w:type="dxa" w:w="67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Sent</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Complaints</w:t>
            </w:r>
          </w:p>
        </w:tc>
        <w:tc>
          <w:tcPr>
            <w:tcW w:type="dxa" w:w="7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Evidence held</w:t>
            </w:r>
          </w:p>
        </w:tc>
      </w:tr>
      <w:t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[CHANNEL]</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[REGISTER]</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77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[REF]</w:t>
            </w:r>
          </w:p>
        </w:tc>
      </w:tr>
      <w:t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[CHANNEL]</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[REGISTER]</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77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[REF]</w:t>
            </w:r>
          </w:p>
        </w:tc>
      </w:tr>
      <w:t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3</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[CHANNEL]</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[REGISTER]</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77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[REF]</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Compliance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Check</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Registry account active and accessible to the marketing team</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correct register checked for each channel used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Check results within the validity period at the time of sending</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Consent records in evidential form for any listed number contacted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Exemptions relied on identified and recorded per campaign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Internal withdrawal list maintained centrally and applied every time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Withdrawals received by any route captured, not only via unsubscribe links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Sender identified and contact information given in every message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Calling line identity not concealed or falsified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Agency contracts require checking and evidence provision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Agency check evidence obtained for every campaign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 purchased lists used without establishing provenance and consent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Campaign register maintained with evidence retained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Complaints logged and root cause addressed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Consent to marketing does not defeat the Registry</w:t>
      </w:r>
    </w:p>
    <w:p>
      <w:pPr>
        <w:spacing w:after="60" w:line="264"/>
        <w:jc w:val="both"/>
      </w:pPr>
      <w:r>
        <w:rPr>
          <w:rFonts w:ascii="Calibri" w:cs="Calibri" w:eastAsia="Calibri" w:hAnsi="Calibri"/>
          <w:sz w:val="19"/>
          <w:szCs w:val="19"/>
        </w:rPr>
        <w:t xml:space="preserve">This is the misunderstanding at the centre of most contraventions. A customer who ticked a marketing box may still be on the Registry, and sending to them requires clear and unambiguous consent in evidential form — a higher standard than ordinary data protection consent. Marketing teams reasonably assume the two are the same thing. They are not.</w:t>
      </w:r>
    </w:p>
    <w:p>
      <w:pPr>
        <w:keepNext/>
        <w:spacing w:after="40" w:before="140"/>
      </w:pPr>
      <w:r>
        <w:rPr>
          <w:rFonts w:ascii="Calibri" w:cs="Calibri" w:eastAsia="Calibri" w:hAnsi="Calibri"/>
          <w:b/>
          <w:bCs/>
          <w:color w:val="14161B"/>
          <w:sz w:val="20"/>
          <w:szCs w:val="20"/>
        </w:rPr>
        <w:t xml:space="preserve">Three registers, one per channel</w:t>
      </w:r>
    </w:p>
    <w:p>
      <w:pPr>
        <w:spacing w:after="60" w:line="264"/>
        <w:jc w:val="both"/>
      </w:pPr>
      <w:r>
        <w:rPr>
          <w:rFonts w:ascii="Calibri" w:cs="Calibri" w:eastAsia="Calibri" w:hAnsi="Calibri"/>
          <w:sz w:val="19"/>
          <w:szCs w:val="19"/>
        </w:rPr>
        <w:t xml:space="preserve">There are separate registers for voice calls, text messages and faxes. Checking one and sending on another channel is a contravention. Step 2 of the campaign process makes the channel determine the register.</w:t>
      </w:r>
    </w:p>
    <w:p>
      <w:pPr>
        <w:keepNext/>
        <w:spacing w:after="40" w:before="140"/>
      </w:pPr>
      <w:r>
        <w:rPr>
          <w:rFonts w:ascii="Calibri" w:cs="Calibri" w:eastAsia="Calibri" w:hAnsi="Calibri"/>
          <w:b/>
          <w:bCs/>
          <w:color w:val="14161B"/>
          <w:sz w:val="20"/>
          <w:szCs w:val="20"/>
        </w:rPr>
        <w:t xml:space="preserve">Check results expire</w:t>
      </w:r>
    </w:p>
    <w:p>
      <w:pPr>
        <w:spacing w:after="60" w:line="264"/>
        <w:jc w:val="both"/>
      </w:pPr>
      <w:r>
        <w:rPr>
          <w:rFonts w:ascii="Calibri" w:cs="Calibri" w:eastAsia="Calibri" w:hAnsi="Calibri"/>
          <w:sz w:val="19"/>
          <w:szCs w:val="19"/>
        </w:rPr>
        <w:t xml:space="preserve">A Registry check is valid for a prescribed period. Reusing a check from a previous campaign, or from before that period, means sending to numbers that may have registered since. Record the check date against every campaign — the register in Annexure A exists for this.</w:t>
      </w:r>
    </w:p>
    <w:p>
      <w:pPr>
        <w:keepNext/>
        <w:spacing w:after="40" w:before="140"/>
      </w:pPr>
      <w:r>
        <w:rPr>
          <w:rFonts w:ascii="Calibri" w:cs="Calibri" w:eastAsia="Calibri" w:hAnsi="Calibri"/>
          <w:b/>
          <w:bCs/>
          <w:color w:val="14161B"/>
          <w:sz w:val="20"/>
          <w:szCs w:val="20"/>
        </w:rPr>
        <w:t xml:space="preserve">Purpose decides whether it is marketing</w:t>
      </w:r>
    </w:p>
    <w:p>
      <w:pPr>
        <w:spacing w:after="60" w:line="264"/>
        <w:jc w:val="both"/>
      </w:pPr>
      <w:r>
        <w:rPr>
          <w:rFonts w:ascii="Calibri" w:cs="Calibri" w:eastAsia="Calibri" w:hAnsi="Calibri"/>
          <w:sz w:val="19"/>
          <w:szCs w:val="19"/>
        </w:rPr>
        <w:t xml:space="preserve">A message is caught where one of its purposes is to promote. A service notification that also mentions an offer, a survey that ends with a discount code, a renewal reminder that upsells — all become specified messages. Teams that classify by message type rather than by purpose get this wrong routinely.</w:t>
      </w:r>
    </w:p>
    <w:p>
      <w:pPr>
        <w:keepNext/>
        <w:spacing w:after="40" w:before="140"/>
      </w:pPr>
      <w:r>
        <w:rPr>
          <w:rFonts w:ascii="Calibri" w:cs="Calibri" w:eastAsia="Calibri" w:hAnsi="Calibri"/>
          <w:b/>
          <w:bCs/>
          <w:color w:val="14161B"/>
          <w:sz w:val="20"/>
          <w:szCs w:val="20"/>
        </w:rPr>
        <w:t xml:space="preserve">Email is outside the Registry but not outside the law</w:t>
      </w:r>
    </w:p>
    <w:p>
      <w:pPr>
        <w:spacing w:after="60" w:line="264"/>
        <w:jc w:val="both"/>
      </w:pPr>
      <w:r>
        <w:rPr>
          <w:rFonts w:ascii="Calibri" w:cs="Calibri" w:eastAsia="Calibri" w:hAnsi="Calibri"/>
          <w:sz w:val="19"/>
          <w:szCs w:val="19"/>
        </w:rPr>
        <w:t xml:space="preserve">The Registry applies to voice, text and fax to Singapore numbers, not to email. Email marketing still requires a valid data protection basis, and separate rules on unsolicited commercial messages may apply. Do not treat email as unregulated.</w:t>
      </w:r>
    </w:p>
    <w:p>
      <w:pPr>
        <w:keepNext/>
        <w:spacing w:after="40" w:before="140"/>
      </w:pPr>
      <w:r>
        <w:rPr>
          <w:rFonts w:ascii="Calibri" w:cs="Calibri" w:eastAsia="Calibri" w:hAnsi="Calibri"/>
          <w:b/>
          <w:bCs/>
          <w:color w:val="14161B"/>
          <w:sz w:val="20"/>
          <w:szCs w:val="20"/>
        </w:rPr>
        <w:t xml:space="preserve">Withdrawal by any route counts</w:t>
      </w:r>
    </w:p>
    <w:p>
      <w:pPr>
        <w:spacing w:after="60" w:line="264"/>
        <w:jc w:val="both"/>
      </w:pPr>
      <w:r>
        <w:rPr>
          <w:rFonts w:ascii="Calibri" w:cs="Calibri" w:eastAsia="Calibri" w:hAnsi="Calibri"/>
          <w:sz w:val="19"/>
          <w:szCs w:val="19"/>
        </w:rPr>
        <w:t xml:space="preserve">A person who tells a salesperson to stop calling, replies to a text, or emails to complain has withdrawn. It is not limited to using a designated unsubscribe link. Clause 5.3 says so, and Clause 5.4 identifies the practical failure — a withdrawal recorded in one team’s inbox and never added to the central list.</w:t>
      </w:r>
    </w:p>
    <w:p>
      <w:pPr>
        <w:keepNext/>
        <w:spacing w:after="40" w:before="140"/>
      </w:pPr>
      <w:r>
        <w:rPr>
          <w:rFonts w:ascii="Calibri" w:cs="Calibri" w:eastAsia="Calibri" w:hAnsi="Calibri"/>
          <w:b/>
          <w:bCs/>
          <w:color w:val="14161B"/>
          <w:sz w:val="20"/>
          <w:szCs w:val="20"/>
        </w:rPr>
        <w:t xml:space="preserve">Keep one central withdrawal list</w:t>
      </w:r>
    </w:p>
    <w:p>
      <w:pPr>
        <w:spacing w:after="60" w:line="264"/>
        <w:jc w:val="both"/>
      </w:pPr>
      <w:r>
        <w:rPr>
          <w:rFonts w:ascii="Calibri" w:cs="Calibri" w:eastAsia="Calibri" w:hAnsi="Calibri"/>
          <w:sz w:val="19"/>
          <w:szCs w:val="19"/>
        </w:rPr>
        <w:t xml:space="preserve">Separate opt-out lists per campaign, per channel or per team guarantee that someone who opted out of one thing receives another. A single list applied to every send is the only arrangement that works, and it is also what a complaint investigation will look for.</w:t>
      </w:r>
    </w:p>
    <w:p>
      <w:pPr>
        <w:keepNext/>
        <w:spacing w:after="40" w:before="140"/>
      </w:pPr>
      <w:r>
        <w:rPr>
          <w:rFonts w:ascii="Calibri" w:cs="Calibri" w:eastAsia="Calibri" w:hAnsi="Calibri"/>
          <w:b/>
          <w:bCs/>
          <w:color w:val="14161B"/>
          <w:sz w:val="20"/>
          <w:szCs w:val="20"/>
        </w:rPr>
        <w:t xml:space="preserve">Identify yourself</w:t>
      </w:r>
    </w:p>
    <w:p>
      <w:pPr>
        <w:spacing w:after="60" w:line="264"/>
        <w:jc w:val="both"/>
      </w:pPr>
      <w:r>
        <w:rPr>
          <w:rFonts w:ascii="Calibri" w:cs="Calibri" w:eastAsia="Calibri" w:hAnsi="Calibri"/>
          <w:sz w:val="19"/>
          <w:szCs w:val="19"/>
        </w:rPr>
        <w:t xml:space="preserve">Every marketing message must identify the sender and provide contact information allowing the recipient to reach them readily. Concealing or falsifying calling line identity is separately prohibited. Anonymous or spoofed marketing is treated seriously.</w:t>
      </w:r>
    </w:p>
    <w:p>
      <w:pPr>
        <w:keepNext/>
        <w:spacing w:after="40" w:before="140"/>
      </w:pPr>
      <w:r>
        <w:rPr>
          <w:rFonts w:ascii="Calibri" w:cs="Calibri" w:eastAsia="Calibri" w:hAnsi="Calibri"/>
          <w:b/>
          <w:bCs/>
          <w:color w:val="14161B"/>
          <w:sz w:val="20"/>
          <w:szCs w:val="20"/>
        </w:rPr>
        <w:t xml:space="preserve">The exemptions are narrower than people assume</w:t>
      </w:r>
    </w:p>
    <w:p>
      <w:pPr>
        <w:spacing w:after="60" w:line="264"/>
        <w:jc w:val="both"/>
      </w:pPr>
      <w:r>
        <w:rPr>
          <w:rFonts w:ascii="Calibri" w:cs="Calibri" w:eastAsia="Calibri" w:hAnsi="Calibri"/>
          <w:sz w:val="19"/>
          <w:szCs w:val="19"/>
        </w:rPr>
        <w:t xml:space="preserve">The ongoing relationship and business contact information exemptions are defined by conditions, not by general reasonableness. An existing customer relationship does not permit marketing anything unrelated, and a work number is not automatically outside the rules. Record which exemption is relied on and why, per campaign.</w:t>
      </w:r>
    </w:p>
    <w:p>
      <w:pPr>
        <w:keepNext/>
        <w:spacing w:after="40" w:before="140"/>
      </w:pPr>
      <w:r>
        <w:rPr>
          <w:rFonts w:ascii="Calibri" w:cs="Calibri" w:eastAsia="Calibri" w:hAnsi="Calibri"/>
          <w:b/>
          <w:bCs/>
          <w:color w:val="14161B"/>
          <w:sz w:val="20"/>
          <w:szCs w:val="20"/>
        </w:rPr>
        <w:t xml:space="preserve">Agencies do not carry your obligation</w:t>
      </w:r>
    </w:p>
    <w:p>
      <w:pPr>
        <w:spacing w:after="60" w:line="264"/>
        <w:jc w:val="both"/>
      </w:pPr>
      <w:r>
        <w:rPr>
          <w:rFonts w:ascii="Calibri" w:cs="Calibri" w:eastAsia="Calibri" w:hAnsi="Calibri"/>
          <w:sz w:val="19"/>
          <w:szCs w:val="19"/>
        </w:rPr>
        <w:t xml:space="preserve">Where an agency, call centre or platform sends on your behalf, the obligation remains yours. Require Registry checking in the contract, and actually obtain the evidence for each campaign rather than accepting an assurance. Item 11 of the checklist tests whether you have it, not whether they say they did it.</w:t>
      </w:r>
    </w:p>
    <w:p>
      <w:pPr>
        <w:keepNext/>
        <w:spacing w:after="40" w:before="140"/>
      </w:pPr>
      <w:r>
        <w:rPr>
          <w:rFonts w:ascii="Calibri" w:cs="Calibri" w:eastAsia="Calibri" w:hAnsi="Calibri"/>
          <w:b/>
          <w:bCs/>
          <w:color w:val="14161B"/>
          <w:sz w:val="20"/>
          <w:szCs w:val="20"/>
        </w:rPr>
        <w:t xml:space="preserve">Do not use lists of unknown provenance</w:t>
      </w:r>
    </w:p>
    <w:p>
      <w:pPr>
        <w:spacing w:after="60" w:line="264"/>
        <w:jc w:val="both"/>
      </w:pPr>
      <w:r>
        <w:rPr>
          <w:rFonts w:ascii="Calibri" w:cs="Calibri" w:eastAsia="Calibri" w:hAnsi="Calibri"/>
          <w:sz w:val="19"/>
          <w:szCs w:val="19"/>
        </w:rPr>
        <w:t xml:space="preserve">Purchased or scraped contact lists are the fastest route to a contravention, because you cannot establish how the numbers were obtained or whether any consent exists. The commercial temptation is obvious and the exposure is not worth it.</w:t>
      </w:r>
    </w:p>
    <w:p>
      <w:pPr>
        <w:keepNext/>
        <w:spacing w:after="40" w:before="140"/>
      </w:pPr>
      <w:r>
        <w:rPr>
          <w:rFonts w:ascii="Calibri" w:cs="Calibri" w:eastAsia="Calibri" w:hAnsi="Calibri"/>
          <w:b/>
          <w:bCs/>
          <w:color w:val="14161B"/>
          <w:sz w:val="20"/>
          <w:szCs w:val="20"/>
        </w:rPr>
        <w:t xml:space="preserve">Enforcement here is routine</w:t>
      </w:r>
    </w:p>
    <w:p>
      <w:pPr>
        <w:spacing w:after="60" w:line="264"/>
        <w:jc w:val="both"/>
      </w:pPr>
      <w:r>
        <w:rPr>
          <w:rFonts w:ascii="Calibri" w:cs="Calibri" w:eastAsia="Calibri" w:hAnsi="Calibri"/>
          <w:sz w:val="19"/>
          <w:szCs w:val="19"/>
        </w:rPr>
        <w:t xml:space="preserve">This is one of the more actively enforced areas, with financial penalties imposed on organisations of all sizes. It is also one of the easiest to comply with — the controls are mechanical, and most breaches come from process gaps rather than difficult judgement calls.</w:t>
      </w:r>
    </w:p>
    <w:p>
      <w:pPr>
        <w:keepNext/>
        <w:spacing w:after="40" w:before="140"/>
      </w:pPr>
      <w:r>
        <w:rPr>
          <w:rFonts w:ascii="Calibri" w:cs="Calibri" w:eastAsia="Calibri" w:hAnsi="Calibri"/>
          <w:b/>
          <w:bCs/>
          <w:color w:val="14161B"/>
          <w:sz w:val="20"/>
          <w:szCs w:val="20"/>
        </w:rPr>
        <w:t xml:space="preserve">Log complaints and fix causes</w:t>
      </w:r>
    </w:p>
    <w:p>
      <w:pPr>
        <w:spacing w:after="60" w:line="264"/>
        <w:jc w:val="both"/>
      </w:pPr>
      <w:r>
        <w:rPr>
          <w:rFonts w:ascii="Calibri" w:cs="Calibri" w:eastAsia="Calibri" w:hAnsi="Calibri"/>
          <w:sz w:val="19"/>
          <w:szCs w:val="19"/>
        </w:rPr>
        <w:t xml:space="preserve">A complaint about a call after opt-out almost always indicates a broken process rather than an isolated error — usually the central withdrawal list. Treat each complaint as a diagnostic, as item 14 requires.</w:t>
      </w:r>
    </w:p>
    <w:p>
      <w:pPr>
        <w:keepNext/>
        <w:spacing w:after="40" w:before="140"/>
      </w:pPr>
      <w:r>
        <w:rPr>
          <w:rFonts w:ascii="Calibri" w:cs="Calibri" w:eastAsia="Calibri" w:hAnsi="Calibri"/>
          <w:b/>
          <w:bCs/>
          <w:color w:val="14161B"/>
          <w:sz w:val="20"/>
          <w:szCs w:val="20"/>
        </w:rPr>
        <w:t xml:space="preserve">Retain the evidence</w:t>
      </w:r>
    </w:p>
    <w:p>
      <w:pPr>
        <w:spacing w:after="60" w:line="264"/>
        <w:jc w:val="both"/>
      </w:pPr>
      <w:r>
        <w:rPr>
          <w:rFonts w:ascii="Calibri" w:cs="Calibri" w:eastAsia="Calibri" w:hAnsi="Calibri"/>
          <w:sz w:val="19"/>
          <w:szCs w:val="19"/>
        </w:rPr>
        <w:t xml:space="preserve">Registry check results, final send lists, consent records and message content should be retained for each campaign. Without them, an organisation cannot demonstrate compliance even where it complied.</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Registry check validity periods, the scope of exemptions, requirements on sender identification and penalty levels all change — confirm the current position with the Personal Data Protection Commission before designing a campaign process, and take advice on any reliance on the ongoing relationship or business contact exemptions.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2026-08-22T06:55:30.031Z</dcterms:created>
  <dcterms:modified xsi:type="dcterms:W3CDTF">2026-08-22T06:55:30.031Z</dcterms:modified>
</cp:coreProperties>
</file>

<file path=docProps/custom.xml><?xml version="1.0" encoding="utf-8"?>
<Properties xmlns="http://schemas.openxmlformats.org/officeDocument/2006/custom-properties" xmlns:vt="http://schemas.openxmlformats.org/officeDocument/2006/docPropsVTypes"/>
</file>