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DIRECTORS’ STATEMENT</w:t>
      </w:r>
    </w:p>
    <w:p>
      <w:pPr>
        <w:spacing w:after="260"/>
        <w:jc w:val="center"/>
      </w:pPr>
      <w:r>
        <w:rPr>
          <w:rFonts w:ascii="Calibri" w:cs="Calibri" w:eastAsia="Calibri" w:hAnsi="Calibri"/>
          <w:i/>
          <w:iCs/>
          <w:color w:val="6E7480"/>
          <w:sz w:val="19"/>
          <w:szCs w:val="19"/>
        </w:rPr>
        <w:t xml:space="preserve">Accompanying the financial statements</w:t>
      </w:r>
    </w:p>
    <w:p>
      <w:pPr>
        <w:spacing w:after="180" w:before="0" w:line="276"/>
        <w:jc w:val="both"/>
      </w:pPr>
      <w:r>
        <w:rPr>
          <w:rFonts w:ascii="Calibri" w:cs="Calibri" w:eastAsia="Calibri" w:hAnsi="Calibri"/>
          <w:i/>
          <w:iCs/>
          <w:color w:val="6E7480"/>
          <w:sz w:val="21"/>
          <w:szCs w:val="21"/>
        </w:rPr>
        <w:t xml:space="preserve">Singapore requires a Directors’ Statement, not the directors’ report of other jurisdictions. It carries specific statutory confirmations, including the directors’ opinion that the company </w:t>
      </w:r>
      <w:r>
        <w:rPr>
          <w:rFonts w:ascii="Calibri" w:cs="Calibri" w:eastAsia="Calibri" w:hAnsi="Calibri"/>
          <w:b/>
          <w:bCs/>
          <w:i/>
          <w:iCs/>
          <w:color w:val="6E7480"/>
          <w:sz w:val="21"/>
          <w:szCs w:val="21"/>
        </w:rPr>
        <w:t xml:space="preserve">will be able to pay its debts as and when they fall due</w:t>
      </w:r>
      <w:r>
        <w:rPr>
          <w:rFonts w:ascii="Calibri" w:cs="Calibri" w:eastAsia="Calibri" w:hAnsi="Calibri"/>
          <w:i/>
          <w:iCs/>
          <w:color w:val="6E7480"/>
          <w:sz w:val="21"/>
          <w:szCs w:val="21"/>
        </w:rPr>
        <w:t xml:space="preserve">. That is a substantive judgement with personal consequences, not a form of words.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 ended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framework</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[SFRS / SFRS for Small Entities / SFRS(I)]</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 position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[Audited by ______ / Exempt as a small company]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Statement approved by the Board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and </w:t>
            </w:r>
            <w:r>
              <w:rPr>
                <w:rFonts w:ascii="Calibri" w:cs="Calibri" w:eastAsia="Calibri" w:hAnsi="Calibri"/>
                <w:b/>
                <w:bCs/>
                <w:sz w:val="19"/>
                <w:szCs w:val="19"/>
              </w:rPr>
              <w:t xml:space="preserve">[NAME]</w:t>
            </w:r>
            <w:r>
              <w:rPr>
                <w:rFonts w:ascii="Calibri" w:cs="Calibri" w:eastAsia="Calibri" w:hAnsi="Calibri"/>
                <w:sz w:val="19"/>
                <w:szCs w:val="19"/>
              </w:rPr>
              <w:t xml:space="preserve">, directors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Sent to members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STATEMENT</w:t>
      </w:r>
    </w:p>
    <w:p>
      <w:pPr>
        <w:spacing w:after="40" w:before="0" w:line="276"/>
        <w:jc w:val="center"/>
      </w:pPr>
      <w:r>
        <w:rPr>
          <w:rFonts w:ascii="Calibri" w:cs="Calibri" w:eastAsia="Calibri" w:hAnsi="Calibri"/>
          <w:b/>
          <w:bCs/>
          <w:sz w:val="21"/>
          <w:szCs w:val="21"/>
        </w:rPr>
        <w:t xml:space="preserve">[COMPANY NAME]</w:t>
      </w:r>
    </w:p>
    <w:p>
      <w:pPr>
        <w:spacing w:after="40" w:before="0" w:line="276"/>
        <w:jc w:val="center"/>
      </w:pPr>
      <w:r>
        <w:rPr>
          <w:rFonts w:ascii="Calibri" w:cs="Calibri" w:eastAsia="Calibri" w:hAnsi="Calibri"/>
          <w:sz w:val="21"/>
          <w:szCs w:val="21"/>
        </w:rPr>
        <w:t xml:space="preserve">(Incorporated in the Republic of Singapore) — UEN: </w:t>
      </w:r>
      <w:r>
        <w:rPr>
          <w:rFonts w:ascii="Calibri" w:cs="Calibri" w:eastAsia="Calibri" w:hAnsi="Calibri"/>
          <w:b/>
          <w:bCs/>
          <w:sz w:val="21"/>
          <w:szCs w:val="21"/>
        </w:rPr>
        <w:t xml:space="preserve">[UEN]</w:t>
      </w:r>
    </w:p>
    <w:p>
      <w:pPr>
        <w:spacing w:after="40" w:before="0" w:line="276"/>
        <w:jc w:val="center"/>
      </w:pPr>
      <w:r>
        <w:rPr>
          <w:rFonts w:ascii="Calibri" w:cs="Calibri" w:eastAsia="Calibri" w:hAnsi="Calibri"/>
          <w:b/>
          <w:bCs/>
          <w:sz w:val="21"/>
          <w:szCs w:val="21"/>
        </w:rPr>
        <w:t xml:space="preserve">DIRECTORS’ STATEMENT</w:t>
      </w:r>
    </w:p>
    <w:p>
      <w:pPr>
        <w:spacing w:after="160" w:before="0" w:line="276"/>
        <w:jc w:val="center"/>
      </w:pPr>
      <w:r>
        <w:rPr>
          <w:rFonts w:ascii="Calibri" w:cs="Calibri" w:eastAsia="Calibri" w:hAnsi="Calibri"/>
          <w:sz w:val="21"/>
          <w:szCs w:val="21"/>
        </w:rPr>
        <w:t xml:space="preserve">For the financial year ended </w:t>
      </w:r>
      <w:r>
        <w:rPr>
          <w:rFonts w:ascii="Calibri" w:cs="Calibri" w:eastAsia="Calibri" w:hAnsi="Calibri"/>
          <w:b/>
          <w:bCs/>
          <w:sz w:val="21"/>
          <w:szCs w:val="21"/>
        </w:rPr>
        <w:t xml:space="preserve">[DATE]</w:t>
      </w:r>
    </w:p>
    <w:p>
      <w:pPr>
        <w:spacing w:after="160" w:before="0" w:line="276"/>
        <w:jc w:val="both"/>
      </w:pPr>
      <w:r>
        <w:rPr>
          <w:rFonts w:ascii="Calibri" w:cs="Calibri" w:eastAsia="Calibri" w:hAnsi="Calibri"/>
          <w:sz w:val="21"/>
          <w:szCs w:val="21"/>
        </w:rPr>
        <w:t xml:space="preserve">The directors present their statement to the members together with the audited financial statements of the Company for the financial year ended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1. Opinion of the directors</w:t>
      </w:r>
    </w:p>
    <w:p>
      <w:pPr>
        <w:spacing w:after="80" w:before="0" w:line="276"/>
        <w:jc w:val="both"/>
      </w:pPr>
      <w:r>
        <w:rPr>
          <w:rFonts w:ascii="Calibri" w:cs="Calibri" w:eastAsia="Calibri" w:hAnsi="Calibri"/>
          <w:sz w:val="21"/>
          <w:szCs w:val="21"/>
        </w:rPr>
        <w:t xml:space="preserve">In the opinion of the directors: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financial statements of the Company are drawn up so as to give a </w:t>
      </w:r>
      <w:r>
        <w:rPr>
          <w:rFonts w:ascii="Calibri" w:cs="Calibri" w:eastAsia="Calibri" w:hAnsi="Calibri"/>
          <w:b/>
          <w:bCs/>
          <w:sz w:val="21"/>
          <w:szCs w:val="21"/>
        </w:rPr>
        <w:t xml:space="preserve">true and fair view</w:t>
      </w:r>
      <w:r>
        <w:rPr>
          <w:rFonts w:ascii="Calibri" w:cs="Calibri" w:eastAsia="Calibri" w:hAnsi="Calibri"/>
          <w:sz w:val="21"/>
          <w:szCs w:val="21"/>
        </w:rPr>
        <w:t xml:space="preserve"> of the financial position of the Company as at </w:t>
      </w:r>
      <w:r>
        <w:rPr>
          <w:rFonts w:ascii="Calibri" w:cs="Calibri" w:eastAsia="Calibri" w:hAnsi="Calibri"/>
          <w:b/>
          <w:bCs/>
          <w:sz w:val="21"/>
          <w:szCs w:val="21"/>
        </w:rPr>
        <w:t xml:space="preserve">[DATE]</w:t>
      </w:r>
      <w:r>
        <w:rPr>
          <w:rFonts w:ascii="Calibri" w:cs="Calibri" w:eastAsia="Calibri" w:hAnsi="Calibri"/>
          <w:sz w:val="21"/>
          <w:szCs w:val="21"/>
        </w:rPr>
        <w:t xml:space="preserve"> and of the financial performance, changes in equity and cash flows of the Company for the financial year then ended; and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at the date of this statement, there are </w:t>
      </w:r>
      <w:r>
        <w:rPr>
          <w:rFonts w:ascii="Calibri" w:cs="Calibri" w:eastAsia="Calibri" w:hAnsi="Calibri"/>
          <w:b/>
          <w:bCs/>
          <w:sz w:val="21"/>
          <w:szCs w:val="21"/>
        </w:rPr>
        <w:t xml:space="preserve">reasonable grounds to believe that the Company will be able to pay its debts as and when they fall due</w:t>
      </w:r>
      <w:r>
        <w:rPr>
          <w:rFonts w:ascii="Calibri" w:cs="Calibri" w:eastAsia="Calibri" w:hAnsi="Calibri"/>
          <w:sz w:val="21"/>
          <w:szCs w:val="21"/>
        </w:rPr>
        <w:t xml:space="preserve">.</w:t>
      </w:r>
    </w:p>
    <w:p>
      <w:pPr>
        <w:spacing w:after="100" w:before="140" w:line="276"/>
        <w:jc w:val="both"/>
      </w:pPr>
      <w:r>
        <w:rPr>
          <w:rFonts w:ascii="Calibri" w:cs="Calibri" w:eastAsia="Calibri" w:hAnsi="Calibri"/>
          <w:b/>
          <w:bCs/>
          <w:sz w:val="21"/>
          <w:szCs w:val="21"/>
        </w:rPr>
        <w:t xml:space="preserve">2. Directors</w:t>
      </w:r>
    </w:p>
    <w:p>
      <w:pPr>
        <w:spacing w:after="80" w:before="0" w:line="276"/>
        <w:jc w:val="both"/>
      </w:pPr>
      <w:r>
        <w:rPr>
          <w:rFonts w:ascii="Calibri" w:cs="Calibri" w:eastAsia="Calibri" w:hAnsi="Calibri"/>
          <w:sz w:val="21"/>
          <w:szCs w:val="21"/>
        </w:rPr>
        <w:t xml:space="preserve">The directors of the Company in office at the date of this statement are: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927"/>
        <w:gridCol w:w="1927"/>
        <w:gridCol w:w="2893"/>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Appointed</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Resigned</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[Ordinarily resident in Singapore]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289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Resigned during the year</w:t>
            </w:r>
          </w:p>
        </w:tc>
      </w:tr>
    </w:tbl>
    <w:p>
      <w:pPr>
        <w:spacing w:after="140"/>
      </w:pPr>
    </w:p>
    <w:p>
      <w:pPr>
        <w:spacing w:after="100" w:before="0" w:line="276"/>
        <w:jc w:val="both"/>
      </w:pPr>
      <w:r>
        <w:rPr>
          <w:rFonts w:ascii="Calibri" w:cs="Calibri" w:eastAsia="Calibri" w:hAnsi="Calibri"/>
          <w:b/>
          <w:bCs/>
          <w:sz w:val="21"/>
          <w:szCs w:val="21"/>
        </w:rPr>
        <w:t xml:space="preserve">3. Arrangements to enable directors to acquire benefits</w:t>
      </w:r>
    </w:p>
    <w:p>
      <w:pPr>
        <w:spacing w:after="140" w:before="0" w:line="276"/>
        <w:jc w:val="both"/>
      </w:pPr>
      <w:r>
        <w:rPr>
          <w:rFonts w:ascii="Calibri" w:cs="Calibri" w:eastAsia="Calibri" w:hAnsi="Calibri"/>
          <w:sz w:val="21"/>
          <w:szCs w:val="21"/>
        </w:rPr>
        <w:t xml:space="preserve">Neither at the end of nor at any time during the financial year was the Company a party to any arrangement whose object was to enable the directors of the Company to acquire benefits by means of the acquisition of shares in, or debentures of, the Company or any other body corporate, </w:t>
      </w:r>
      <w:r>
        <w:rPr>
          <w:rFonts w:ascii="Calibri" w:cs="Calibri" w:eastAsia="Calibri" w:hAnsi="Calibri"/>
          <w:b/>
          <w:bCs/>
          <w:sz w:val="21"/>
          <w:szCs w:val="21"/>
        </w:rPr>
        <w:t xml:space="preserve">[other than as disclosed in note ______ in respect of the Company’s employee share scheme]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4. Directors’ interests in shares and debentures</w:t>
      </w:r>
    </w:p>
    <w:p>
      <w:pPr>
        <w:spacing w:after="100" w:before="0" w:line="276"/>
        <w:jc w:val="both"/>
      </w:pPr>
      <w:r>
        <w:rPr>
          <w:rFonts w:ascii="Calibri" w:cs="Calibri" w:eastAsia="Calibri" w:hAnsi="Calibri"/>
          <w:b/>
          <w:bCs/>
          <w:sz w:val="21"/>
          <w:szCs w:val="21"/>
        </w:rPr>
        <w:t xml:space="preserve">[Where directors held interests]</w:t>
      </w:r>
      <w:r>
        <w:rPr>
          <w:rFonts w:ascii="Calibri" w:cs="Calibri" w:eastAsia="Calibri" w:hAnsi="Calibri"/>
          <w:sz w:val="21"/>
          <w:szCs w:val="21"/>
        </w:rPr>
        <w:t xml:space="preserve"> The following directors, who held office at the end of the financial year, had an interest in the shares of the Company as recorded in the register of directors’ shareholdings: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2505"/>
        <w:gridCol w:w="2505"/>
        <w:gridCol w:w="212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Holdings at beginning of year</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Holdings at end of year</w:t>
            </w:r>
          </w:p>
        </w:tc>
        <w:tc>
          <w:tcPr>
            <w:tcW w:type="dxa" w:w="212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Held by or on behalf of</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ordinary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ordinary</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 / Deemed]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ordinary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ordinary</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 / Deemed]</w:t>
            </w:r>
          </w:p>
        </w:tc>
      </w:tr>
    </w:tbl>
    <w:p>
      <w:pPr>
        <w:spacing w:after="120"/>
      </w:pPr>
    </w:p>
    <w:p>
      <w:pPr>
        <w:spacing w:after="140" w:before="0" w:line="276"/>
        <w:jc w:val="both"/>
      </w:pPr>
      <w:r>
        <w:rPr>
          <w:rFonts w:ascii="Calibri" w:cs="Calibri" w:eastAsia="Calibri" w:hAnsi="Calibri"/>
          <w:i/>
          <w:iCs/>
          <w:sz w:val="21"/>
          <w:szCs w:val="21"/>
        </w:rPr>
        <w:t xml:space="preserve">Or, where none:</w:t>
      </w:r>
      <w:r>
        <w:rPr>
          <w:rFonts w:ascii="Calibri" w:cs="Calibri" w:eastAsia="Calibri" w:hAnsi="Calibri"/>
          <w:sz w:val="21"/>
          <w:szCs w:val="21"/>
        </w:rPr>
        <w:t xml:space="preserve"> None of the directors holding office at the end of the financial year had any interest in the shares or debentures of the Company or of any related corporation.</w:t>
      </w:r>
    </w:p>
    <w:p>
      <w:pPr>
        <w:spacing w:after="100" w:before="0" w:line="276"/>
        <w:jc w:val="both"/>
      </w:pPr>
      <w:r>
        <w:rPr>
          <w:rFonts w:ascii="Calibri" w:cs="Calibri" w:eastAsia="Calibri" w:hAnsi="Calibri"/>
          <w:b/>
          <w:bCs/>
          <w:sz w:val="21"/>
          <w:szCs w:val="21"/>
        </w:rPr>
        <w:t xml:space="preserve">5. Share options</w:t>
      </w:r>
    </w:p>
    <w:p>
      <w:pPr>
        <w:spacing w:after="100" w:before="0" w:line="276"/>
        <w:jc w:val="both"/>
      </w:pPr>
      <w:r>
        <w:rPr>
          <w:rFonts w:ascii="Calibri" w:cs="Calibri" w:eastAsia="Calibri" w:hAnsi="Calibri"/>
          <w:b/>
          <w:bCs/>
          <w:sz w:val="21"/>
          <w:szCs w:val="21"/>
        </w:rPr>
        <w:t xml:space="preserve">[Where a scheme exists]</w:t>
      </w:r>
      <w:r>
        <w:rPr>
          <w:rFonts w:ascii="Calibri" w:cs="Calibri" w:eastAsia="Calibri" w:hAnsi="Calibri"/>
          <w:sz w:val="21"/>
          <w:szCs w:val="21"/>
        </w:rPr>
        <w:t xml:space="preserve"> During the financial year, </w:t>
      </w:r>
      <w:r>
        <w:rPr>
          <w:rFonts w:ascii="Calibri" w:cs="Calibri" w:eastAsia="Calibri" w:hAnsi="Calibri"/>
          <w:b/>
          <w:bCs/>
          <w:sz w:val="21"/>
          <w:szCs w:val="21"/>
        </w:rPr>
        <w:t xml:space="preserve">[NUMBER]</w:t>
      </w:r>
      <w:r>
        <w:rPr>
          <w:rFonts w:ascii="Calibri" w:cs="Calibri" w:eastAsia="Calibri" w:hAnsi="Calibri"/>
          <w:sz w:val="21"/>
          <w:szCs w:val="21"/>
        </w:rPr>
        <w:t xml:space="preserve"> options were granted under the </w:t>
      </w:r>
      <w:r>
        <w:rPr>
          <w:rFonts w:ascii="Calibri" w:cs="Calibri" w:eastAsia="Calibri" w:hAnsi="Calibri"/>
          <w:b/>
          <w:bCs/>
          <w:sz w:val="21"/>
          <w:szCs w:val="21"/>
        </w:rPr>
        <w:t xml:space="preserve">[SCHEME NAME]</w:t>
      </w:r>
      <w:r>
        <w:rPr>
          <w:rFonts w:ascii="Calibri" w:cs="Calibri" w:eastAsia="Calibri" w:hAnsi="Calibri"/>
          <w:sz w:val="21"/>
          <w:szCs w:val="21"/>
        </w:rPr>
        <w:t xml:space="preserve">, </w:t>
      </w:r>
      <w:r>
        <w:rPr>
          <w:rFonts w:ascii="Calibri" w:cs="Calibri" w:eastAsia="Calibri" w:hAnsi="Calibri"/>
          <w:b/>
          <w:bCs/>
          <w:sz w:val="21"/>
          <w:szCs w:val="21"/>
        </w:rPr>
        <w:t xml:space="preserve">[NUMBER]</w:t>
      </w:r>
      <w:r>
        <w:rPr>
          <w:rFonts w:ascii="Calibri" w:cs="Calibri" w:eastAsia="Calibri" w:hAnsi="Calibri"/>
          <w:sz w:val="21"/>
          <w:szCs w:val="21"/>
        </w:rPr>
        <w:t xml:space="preserve"> options were exercised, and </w:t>
      </w:r>
      <w:r>
        <w:rPr>
          <w:rFonts w:ascii="Calibri" w:cs="Calibri" w:eastAsia="Calibri" w:hAnsi="Calibri"/>
          <w:b/>
          <w:bCs/>
          <w:sz w:val="21"/>
          <w:szCs w:val="21"/>
        </w:rPr>
        <w:t xml:space="preserve">[NUMBER]</w:t>
      </w:r>
      <w:r>
        <w:rPr>
          <w:rFonts w:ascii="Calibri" w:cs="Calibri" w:eastAsia="Calibri" w:hAnsi="Calibri"/>
          <w:sz w:val="21"/>
          <w:szCs w:val="21"/>
        </w:rPr>
        <w:t xml:space="preserve"> options lapsed. As at the end of the financial year, </w:t>
      </w:r>
      <w:r>
        <w:rPr>
          <w:rFonts w:ascii="Calibri" w:cs="Calibri" w:eastAsia="Calibri" w:hAnsi="Calibri"/>
          <w:b/>
          <w:bCs/>
          <w:sz w:val="21"/>
          <w:szCs w:val="21"/>
        </w:rPr>
        <w:t xml:space="preserve">[NUMBER]</w:t>
      </w:r>
      <w:r>
        <w:rPr>
          <w:rFonts w:ascii="Calibri" w:cs="Calibri" w:eastAsia="Calibri" w:hAnsi="Calibri"/>
          <w:sz w:val="21"/>
          <w:szCs w:val="21"/>
        </w:rPr>
        <w:t xml:space="preserve"> options remained outstanding. No person holds options entitling them to participate in any share issue of any other corporation. </w:t>
      </w:r>
      <w:r>
        <w:rPr>
          <w:rFonts w:ascii="Calibri" w:cs="Calibri" w:eastAsia="Calibri" w:hAnsi="Calibri"/>
          <w:b/>
          <w:bCs/>
          <w:sz w:val="21"/>
          <w:szCs w:val="21"/>
        </w:rPr>
        <w:t xml:space="preserve">[Details are set out in note ______.]</w:t>
      </w:r>
    </w:p>
    <w:p>
      <w:pPr>
        <w:spacing w:after="140" w:before="0" w:line="276"/>
        <w:jc w:val="both"/>
      </w:pPr>
      <w:r>
        <w:rPr>
          <w:rFonts w:ascii="Calibri" w:cs="Calibri" w:eastAsia="Calibri" w:hAnsi="Calibri"/>
          <w:i/>
          <w:iCs/>
          <w:sz w:val="21"/>
          <w:szCs w:val="21"/>
        </w:rPr>
        <w:t xml:space="preserve">Or:</w:t>
      </w:r>
      <w:r>
        <w:rPr>
          <w:rFonts w:ascii="Calibri" w:cs="Calibri" w:eastAsia="Calibri" w:hAnsi="Calibri"/>
          <w:sz w:val="21"/>
          <w:szCs w:val="21"/>
        </w:rPr>
        <w:t xml:space="preserve"> There were no options granted during the financial year to subscribe for unissued shares of the Company, no shares were issued by virtue of the exercise of any option, and there were no unissued shares under option at the end of the financial year.</w:t>
      </w:r>
    </w:p>
    <w:p>
      <w:pPr>
        <w:spacing w:after="0" w:before="0" w:line="1"/>
      </w:pPr>
      <w:r>
        <w:br w:type="page"/>
      </w:r>
    </w:p>
    <w:p>
      <w:pPr>
        <w:spacing w:after="100" w:before="0" w:line="276"/>
        <w:jc w:val="both"/>
      </w:pPr>
      <w:r>
        <w:rPr>
          <w:rFonts w:ascii="Calibri" w:cs="Calibri" w:eastAsia="Calibri" w:hAnsi="Calibri"/>
          <w:b/>
          <w:bCs/>
          <w:sz w:val="21"/>
          <w:szCs w:val="21"/>
        </w:rPr>
        <w:t xml:space="preserve">6. Auditor</w:t>
      </w:r>
    </w:p>
    <w:p>
      <w:pPr>
        <w:spacing w:after="100" w:before="0" w:line="276"/>
        <w:jc w:val="both"/>
      </w:pPr>
      <w:r>
        <w:rPr>
          <w:rFonts w:ascii="Calibri" w:cs="Calibri" w:eastAsia="Calibri" w:hAnsi="Calibri"/>
          <w:b/>
          <w:bCs/>
          <w:sz w:val="21"/>
          <w:szCs w:val="21"/>
        </w:rPr>
        <w:t xml:space="preserve">[Where audited]</w:t>
      </w:r>
      <w:r>
        <w:rPr>
          <w:rFonts w:ascii="Calibri" w:cs="Calibri" w:eastAsia="Calibri" w:hAnsi="Calibri"/>
          <w:sz w:val="21"/>
          <w:szCs w:val="21"/>
        </w:rPr>
        <w:t xml:space="preserve"> The auditor, </w:t>
      </w:r>
      <w:r>
        <w:rPr>
          <w:rFonts w:ascii="Calibri" w:cs="Calibri" w:eastAsia="Calibri" w:hAnsi="Calibri"/>
          <w:b/>
          <w:bCs/>
          <w:sz w:val="21"/>
          <w:szCs w:val="21"/>
        </w:rPr>
        <w:t xml:space="preserve">[NAME]</w:t>
      </w:r>
      <w:r>
        <w:rPr>
          <w:rFonts w:ascii="Calibri" w:cs="Calibri" w:eastAsia="Calibri" w:hAnsi="Calibri"/>
          <w:sz w:val="21"/>
          <w:szCs w:val="21"/>
        </w:rPr>
        <w:t xml:space="preserve">, has expressed their willingness to accept re-appointment.</w:t>
      </w:r>
    </w:p>
    <w:p>
      <w:pPr>
        <w:spacing w:after="160" w:before="0" w:line="276"/>
        <w:jc w:val="both"/>
      </w:pPr>
      <w:r>
        <w:rPr>
          <w:rFonts w:ascii="Calibri" w:cs="Calibri" w:eastAsia="Calibri" w:hAnsi="Calibri"/>
          <w:i/>
          <w:iCs/>
          <w:sz w:val="21"/>
          <w:szCs w:val="21"/>
        </w:rPr>
        <w:t xml:space="preserve">Or, where exempt:</w:t>
      </w:r>
      <w:r>
        <w:rPr>
          <w:rFonts w:ascii="Calibri" w:cs="Calibri" w:eastAsia="Calibri" w:hAnsi="Calibri"/>
          <w:sz w:val="21"/>
          <w:szCs w:val="21"/>
        </w:rPr>
        <w:t xml:space="preserve"> The Company is exempt from audit requirements under the Companies Act 1967, being a small company </w:t>
      </w:r>
      <w:r>
        <w:rPr>
          <w:rFonts w:ascii="Calibri" w:cs="Calibri" w:eastAsia="Calibri" w:hAnsi="Calibri"/>
          <w:b/>
          <w:bCs/>
          <w:sz w:val="21"/>
          <w:szCs w:val="21"/>
        </w:rPr>
        <w:t xml:space="preserve">[and part of a small group]</w:t>
      </w:r>
      <w:r>
        <w:rPr>
          <w:rFonts w:ascii="Calibri" w:cs="Calibri" w:eastAsia="Calibri" w:hAnsi="Calibri"/>
          <w:sz w:val="21"/>
          <w:szCs w:val="21"/>
        </w:rPr>
        <w:t xml:space="preserve">, and accordingly no auditor has been appointed.</w:t>
      </w:r>
    </w:p>
    <w:p>
      <w:pPr>
        <w:spacing w:after="200" w:before="0" w:line="276"/>
        <w:jc w:val="both"/>
      </w:pPr>
      <w:r>
        <w:rPr>
          <w:rFonts w:ascii="Calibri" w:cs="Calibri" w:eastAsia="Calibri" w:hAnsi="Calibri"/>
          <w:sz w:val="21"/>
          <w:szCs w:val="21"/>
        </w:rPr>
        <w:t xml:space="preserve">On behalf of the Board of Directors,</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Solvency Assessment</w:t>
      </w:r>
    </w:p>
    <w:p>
      <w:pPr>
        <w:spacing w:after="140" w:before="0" w:line="276"/>
        <w:jc w:val="both"/>
      </w:pPr>
      <w:r>
        <w:rPr>
          <w:rFonts w:ascii="Calibri" w:cs="Calibri" w:eastAsia="Calibri" w:hAnsi="Calibri"/>
          <w:i/>
          <w:iCs/>
          <w:sz w:val="21"/>
          <w:szCs w:val="21"/>
        </w:rPr>
        <w:t xml:space="preserve">Before signing paragraph 1(b), work through this and keep it with the board papers. It is the record that the confirmation was based on something.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1927"/>
        <w:gridCol w:w="3279"/>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327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Cash and cash equivalents at the date of this statement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Undrawn committed facilities available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 they are committed, not on demand]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Liabilities falling due within 12 months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 which owed to related parties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 they subordinated or on demand?]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Forecast net cash flow for the next 12 months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[Key assumptions]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Sensitivity — what happens if revenue is </w:t>
            </w:r>
            <w:r>
              <w:rPr>
                <w:rFonts w:ascii="Calibri" w:cs="Calibri" w:eastAsia="Calibri" w:hAnsi="Calibri"/>
                <w:b/>
                <w:bCs/>
                <w:sz w:val="17"/>
                <w:szCs w:val="17"/>
              </w:rPr>
              <w:t xml:space="preserve">[20]</w:t>
            </w:r>
            <w:r>
              <w:rPr>
                <w:rFonts w:ascii="Calibri" w:cs="Calibri" w:eastAsia="Calibri" w:hAnsi="Calibri"/>
                <w:sz w:val="17"/>
                <w:szCs w:val="17"/>
              </w:rPr>
              <w:t xml:space="preserve"> per cent lower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[RESULT]</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Debt covenants — headroom and next test date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Reliance on shareholder or parent support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it documented in a letter of support? Is the supporter itself solvent?]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Significant contingent liabilities or disputes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Concentration risk — largest customer as a share of revenue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[PERCENTAGE]</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Events after the reporting date affecting the assessment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Conclusion: are there reasonable grounds to believe the Company can pay its debts as they fall due?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[REASONING]</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Preparation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Financial statements prepared under the applicable reporting framework</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listed correctly, including those who resigned during the year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directors’ shareholdings reconciled and disclosed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Deemed interests — through family or controlled entities — captured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option movements agreed to the scheme records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Arrangements enabling directors to acquire benefits considered and disclosed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Related party transactions identified from the interests register and disclosed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Audit exemption criteria tested, or auditor’s report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Solvency assessment completed and retained with the board papers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Events after the reporting date reviewed to the date of signing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Statement approved by the board and signed by at least two directors, or by the sole director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Sent to members within the prescribed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Filed with the annual return in the required format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It is a Directors’ Statement, not a directors’ report</w:t>
      </w:r>
    </w:p>
    <w:p>
      <w:pPr>
        <w:spacing w:after="60" w:line="264"/>
        <w:jc w:val="both"/>
      </w:pPr>
      <w:r>
        <w:rPr>
          <w:rFonts w:ascii="Calibri" w:cs="Calibri" w:eastAsia="Calibri" w:hAnsi="Calibri"/>
          <w:sz w:val="19"/>
          <w:szCs w:val="19"/>
        </w:rPr>
        <w:t xml:space="preserve">Singapore requires a statement containing specific statutory confirmations. Documents headed "Directors’ Report" and containing a narrative business review are drawn from another jurisdiction’s requirements and will not contain the confirmations the Act actually requires.</w:t>
      </w:r>
    </w:p>
    <w:p>
      <w:pPr>
        <w:keepNext/>
        <w:spacing w:after="40" w:before="140"/>
      </w:pPr>
      <w:r>
        <w:rPr>
          <w:rFonts w:ascii="Calibri" w:cs="Calibri" w:eastAsia="Calibri" w:hAnsi="Calibri"/>
          <w:b/>
          <w:bCs/>
          <w:color w:val="14161B"/>
          <w:sz w:val="20"/>
          <w:szCs w:val="20"/>
        </w:rPr>
        <w:t xml:space="preserve">The solvency confirmation is the one that matters</w:t>
      </w:r>
    </w:p>
    <w:p>
      <w:pPr>
        <w:spacing w:after="60" w:line="264"/>
        <w:jc w:val="both"/>
      </w:pPr>
      <w:r>
        <w:rPr>
          <w:rFonts w:ascii="Calibri" w:cs="Calibri" w:eastAsia="Calibri" w:hAnsi="Calibri"/>
          <w:sz w:val="19"/>
          <w:szCs w:val="19"/>
        </w:rPr>
        <w:t xml:space="preserve">Paragraph 1(b) is a statement that there are reasonable grounds to believe the company can pay its debts as they fall due, made </w:t>
      </w:r>
      <w:r>
        <w:rPr>
          <w:rFonts w:ascii="Calibri" w:cs="Calibri" w:eastAsia="Calibri" w:hAnsi="Calibri"/>
          <w:b/>
          <w:bCs/>
          <w:sz w:val="19"/>
          <w:szCs w:val="19"/>
        </w:rPr>
        <w:t xml:space="preserve">at the date of the statement</w:t>
      </w:r>
      <w:r>
        <w:rPr>
          <w:rFonts w:ascii="Calibri" w:cs="Calibri" w:eastAsia="Calibri" w:hAnsi="Calibri"/>
          <w:sz w:val="19"/>
          <w:szCs w:val="19"/>
        </w:rPr>
        <w:t xml:space="preserve"> — not at the year end. Directors who sign it without considering the current position take on real exposure, and wrongful trading consequences follow the director personally.</w:t>
      </w:r>
    </w:p>
    <w:p>
      <w:pPr>
        <w:keepNext/>
        <w:spacing w:after="40" w:before="140"/>
      </w:pPr>
      <w:r>
        <w:rPr>
          <w:rFonts w:ascii="Calibri" w:cs="Calibri" w:eastAsia="Calibri" w:hAnsi="Calibri"/>
          <w:b/>
          <w:bCs/>
          <w:color w:val="14161B"/>
          <w:sz w:val="20"/>
          <w:szCs w:val="20"/>
        </w:rPr>
        <w:t xml:space="preserve">Do the assessment and keep it</w:t>
      </w:r>
    </w:p>
    <w:p>
      <w:pPr>
        <w:spacing w:after="60" w:line="264"/>
        <w:jc w:val="both"/>
      </w:pPr>
      <w:r>
        <w:rPr>
          <w:rFonts w:ascii="Calibri" w:cs="Calibri" w:eastAsia="Calibri" w:hAnsi="Calibri"/>
          <w:sz w:val="19"/>
          <w:szCs w:val="19"/>
        </w:rPr>
        <w:t xml:space="preserve">Annexure A exists so the confirmation rests on something. Where a company later fails, the question will be what the directors knew and considered when they signed. A retained cash flow forecast, sensitivity and conclusion is a materially better answer than recollection.</w:t>
      </w:r>
    </w:p>
    <w:p>
      <w:pPr>
        <w:keepNext/>
        <w:spacing w:after="40" w:before="140"/>
      </w:pPr>
      <w:r>
        <w:rPr>
          <w:rFonts w:ascii="Calibri" w:cs="Calibri" w:eastAsia="Calibri" w:hAnsi="Calibri"/>
          <w:b/>
          <w:bCs/>
          <w:color w:val="14161B"/>
          <w:sz w:val="20"/>
          <w:szCs w:val="20"/>
        </w:rPr>
        <w:t xml:space="preserve">Letters of support need scrutiny</w:t>
      </w:r>
    </w:p>
    <w:p>
      <w:pPr>
        <w:spacing w:after="60" w:line="264"/>
        <w:jc w:val="both"/>
      </w:pPr>
      <w:r>
        <w:rPr>
          <w:rFonts w:ascii="Calibri" w:cs="Calibri" w:eastAsia="Calibri" w:hAnsi="Calibri"/>
          <w:sz w:val="19"/>
          <w:szCs w:val="19"/>
        </w:rPr>
        <w:t xml:space="preserve">Where solvency depends on a parent or shareholder continuing to fund the company, get it in writing, check whether it is legally binding or merely a comfort letter, and satisfy yourselves that the supporter is itself able to perform. An undocumented assurance from a shareholder is the weakest possible foundation for a solvency confirmation.</w:t>
      </w:r>
    </w:p>
    <w:p>
      <w:pPr>
        <w:keepNext/>
        <w:spacing w:after="40" w:before="140"/>
      </w:pPr>
      <w:r>
        <w:rPr>
          <w:rFonts w:ascii="Calibri" w:cs="Calibri" w:eastAsia="Calibri" w:hAnsi="Calibri"/>
          <w:b/>
          <w:bCs/>
          <w:color w:val="14161B"/>
          <w:sz w:val="20"/>
          <w:szCs w:val="20"/>
        </w:rPr>
        <w:t xml:space="preserve">Directors’ shareholdings include deemed interests</w:t>
      </w:r>
    </w:p>
    <w:p>
      <w:pPr>
        <w:spacing w:after="60" w:line="264"/>
        <w:jc w:val="both"/>
      </w:pPr>
      <w:r>
        <w:rPr>
          <w:rFonts w:ascii="Calibri" w:cs="Calibri" w:eastAsia="Calibri" w:hAnsi="Calibri"/>
          <w:sz w:val="19"/>
          <w:szCs w:val="19"/>
        </w:rPr>
        <w:t xml:space="preserve">Disclosure covers not only shares held directly but interests deemed to be held — through a spouse, a family member, or a company the director controls. Directors routinely report their direct holding and omit the deemed one. The register of directors’ shareholdings is the source; make sure it is current.</w:t>
      </w:r>
    </w:p>
    <w:p>
      <w:pPr>
        <w:keepNext/>
        <w:spacing w:after="40" w:before="140"/>
      </w:pPr>
      <w:r>
        <w:rPr>
          <w:rFonts w:ascii="Calibri" w:cs="Calibri" w:eastAsia="Calibri" w:hAnsi="Calibri"/>
          <w:b/>
          <w:bCs/>
          <w:color w:val="14161B"/>
          <w:sz w:val="20"/>
          <w:szCs w:val="20"/>
        </w:rPr>
        <w:t xml:space="preserve">List directors who resigned during the year</w:t>
      </w:r>
    </w:p>
    <w:p>
      <w:pPr>
        <w:spacing w:after="60" w:line="264"/>
        <w:jc w:val="both"/>
      </w:pPr>
      <w:r>
        <w:rPr>
          <w:rFonts w:ascii="Calibri" w:cs="Calibri" w:eastAsia="Calibri" w:hAnsi="Calibri"/>
          <w:sz w:val="19"/>
          <w:szCs w:val="19"/>
        </w:rPr>
        <w:t xml:space="preserve">The statement should identify directors in office at the date of the statement, and disclosure of movements during the year is expected. Omitting a director who resigned mid-year is a common and easily avoided error.</w:t>
      </w:r>
    </w:p>
    <w:p>
      <w:pPr>
        <w:keepNext/>
        <w:spacing w:after="40" w:before="140"/>
      </w:pPr>
      <w:r>
        <w:rPr>
          <w:rFonts w:ascii="Calibri" w:cs="Calibri" w:eastAsia="Calibri" w:hAnsi="Calibri"/>
          <w:b/>
          <w:bCs/>
          <w:color w:val="14161B"/>
          <w:sz w:val="20"/>
          <w:szCs w:val="20"/>
        </w:rPr>
        <w:t xml:space="preserve">Share option disclosure comes from the scheme records</w:t>
      </w:r>
    </w:p>
    <w:p>
      <w:pPr>
        <w:spacing w:after="60" w:line="264"/>
        <w:jc w:val="both"/>
      </w:pPr>
      <w:r>
        <w:rPr>
          <w:rFonts w:ascii="Calibri" w:cs="Calibri" w:eastAsia="Calibri" w:hAnsi="Calibri"/>
          <w:sz w:val="19"/>
          <w:szCs w:val="19"/>
        </w:rPr>
        <w:t xml:space="preserve">Grants, exercises, lapses and the outstanding balance must agree to the scheme register. Companies operating an option scheme informally, without a maintained register, cannot produce this reliably and usually discover the gap during the audit.</w:t>
      </w:r>
    </w:p>
    <w:p>
      <w:pPr>
        <w:keepNext/>
        <w:spacing w:after="40" w:before="140"/>
      </w:pPr>
      <w:r>
        <w:rPr>
          <w:rFonts w:ascii="Calibri" w:cs="Calibri" w:eastAsia="Calibri" w:hAnsi="Calibri"/>
          <w:b/>
          <w:bCs/>
          <w:color w:val="14161B"/>
          <w:sz w:val="20"/>
          <w:szCs w:val="20"/>
        </w:rPr>
        <w:t xml:space="preserve">Audit exemption is not automatic or permanent</w:t>
      </w:r>
    </w:p>
    <w:p>
      <w:pPr>
        <w:spacing w:after="60" w:line="264"/>
        <w:jc w:val="both"/>
      </w:pPr>
      <w:r>
        <w:rPr>
          <w:rFonts w:ascii="Calibri" w:cs="Calibri" w:eastAsia="Calibri" w:hAnsi="Calibri"/>
          <w:sz w:val="19"/>
          <w:szCs w:val="19"/>
        </w:rPr>
        <w:t xml:space="preserve">Small company status must be tested each year against the criteria, in each of the two preceding financial years, and separately for the group where applicable. A company that grew through the thresholds and did not notice will find the statement asserting an exemption it no longer has.</w:t>
      </w:r>
    </w:p>
    <w:p>
      <w:pPr>
        <w:keepNext/>
        <w:spacing w:after="40" w:before="140"/>
      </w:pPr>
      <w:r>
        <w:rPr>
          <w:rFonts w:ascii="Calibri" w:cs="Calibri" w:eastAsia="Calibri" w:hAnsi="Calibri"/>
          <w:b/>
          <w:bCs/>
          <w:color w:val="14161B"/>
          <w:sz w:val="20"/>
          <w:szCs w:val="20"/>
        </w:rPr>
        <w:t xml:space="preserve">Exemption from audit is not exemption from statements</w:t>
      </w:r>
    </w:p>
    <w:p>
      <w:pPr>
        <w:spacing w:after="60" w:line="264"/>
        <w:jc w:val="both"/>
      </w:pPr>
      <w:r>
        <w:rPr>
          <w:rFonts w:ascii="Calibri" w:cs="Calibri" w:eastAsia="Calibri" w:hAnsi="Calibri"/>
          <w:sz w:val="19"/>
          <w:szCs w:val="19"/>
        </w:rPr>
        <w:t xml:space="preserve">An unaudited company still prepares financial statements, still produces a Directors’ Statement, still sends both to members and still files. The saving is the audit, not the reporting.</w:t>
      </w:r>
    </w:p>
    <w:p>
      <w:pPr>
        <w:keepNext/>
        <w:spacing w:after="40" w:before="140"/>
      </w:pPr>
      <w:r>
        <w:rPr>
          <w:rFonts w:ascii="Calibri" w:cs="Calibri" w:eastAsia="Calibri" w:hAnsi="Calibri"/>
          <w:b/>
          <w:bCs/>
          <w:color w:val="14161B"/>
          <w:sz w:val="20"/>
          <w:szCs w:val="20"/>
        </w:rPr>
        <w:t xml:space="preserve">Signatures</w:t>
      </w:r>
    </w:p>
    <w:p>
      <w:pPr>
        <w:spacing w:after="60" w:line="264"/>
        <w:jc w:val="both"/>
      </w:pPr>
      <w:r>
        <w:rPr>
          <w:rFonts w:ascii="Calibri" w:cs="Calibri" w:eastAsia="Calibri" w:hAnsi="Calibri"/>
          <w:sz w:val="19"/>
          <w:szCs w:val="19"/>
        </w:rPr>
        <w:t xml:space="preserve">The statement must be signed on behalf of the board, generally by at least two directors, or by the sole director where the company has one. An unsigned or undated statement circulated with the accounts is a defect that auditors and registries both notice.</w:t>
      </w:r>
    </w:p>
    <w:p>
      <w:pPr>
        <w:keepNext/>
        <w:spacing w:after="40" w:before="140"/>
      </w:pPr>
      <w:r>
        <w:rPr>
          <w:rFonts w:ascii="Calibri" w:cs="Calibri" w:eastAsia="Calibri" w:hAnsi="Calibri"/>
          <w:b/>
          <w:bCs/>
          <w:color w:val="14161B"/>
          <w:sz w:val="20"/>
          <w:szCs w:val="20"/>
        </w:rPr>
        <w:t xml:space="preserve">Review events after the reporting date</w:t>
      </w:r>
    </w:p>
    <w:p>
      <w:pPr>
        <w:spacing w:after="60" w:line="264"/>
        <w:jc w:val="both"/>
      </w:pPr>
      <w:r>
        <w:rPr>
          <w:rFonts w:ascii="Calibri" w:cs="Calibri" w:eastAsia="Calibri" w:hAnsi="Calibri"/>
          <w:sz w:val="19"/>
          <w:szCs w:val="19"/>
        </w:rPr>
        <w:t xml:space="preserve">The solvency confirmation speaks as at the date of signing, so events between year end and signature matter — a lost customer, a facility withdrawn, a dispute crystallising. Check 10 requires the review to run to the signing date, not the balance sheet date.</w:t>
      </w:r>
    </w:p>
    <w:p>
      <w:pPr>
        <w:keepNext/>
        <w:spacing w:after="40" w:before="140"/>
      </w:pPr>
      <w:r>
        <w:rPr>
          <w:rFonts w:ascii="Calibri" w:cs="Calibri" w:eastAsia="Calibri" w:hAnsi="Calibri"/>
          <w:b/>
          <w:bCs/>
          <w:color w:val="14161B"/>
          <w:sz w:val="20"/>
          <w:szCs w:val="20"/>
        </w:rPr>
        <w:t xml:space="preserve">Related party disclosure starts with the interests register</w:t>
      </w:r>
    </w:p>
    <w:p>
      <w:pPr>
        <w:spacing w:after="60" w:line="264"/>
        <w:jc w:val="both"/>
      </w:pPr>
      <w:r>
        <w:rPr>
          <w:rFonts w:ascii="Calibri" w:cs="Calibri" w:eastAsia="Calibri" w:hAnsi="Calibri"/>
          <w:sz w:val="19"/>
          <w:szCs w:val="19"/>
        </w:rPr>
        <w:t xml:space="preserve">Transactions with directors and connected parties requiring disclosure in the notes are usually already recorded in the interests register. Reconciling the two is quicker than reconstructing related party transactions from the ledger, and more complete.</w:t>
      </w:r>
    </w:p>
    <w:p>
      <w:pPr>
        <w:keepNext/>
        <w:spacing w:after="40" w:before="140"/>
      </w:pPr>
      <w:r>
        <w:rPr>
          <w:rFonts w:ascii="Calibri" w:cs="Calibri" w:eastAsia="Calibri" w:hAnsi="Calibri"/>
          <w:b/>
          <w:bCs/>
          <w:color w:val="14161B"/>
          <w:sz w:val="20"/>
          <w:szCs w:val="20"/>
        </w:rPr>
        <w:t xml:space="preserve">Reporting framework matters</w:t>
      </w:r>
    </w:p>
    <w:p>
      <w:pPr>
        <w:spacing w:after="60" w:line="264"/>
        <w:jc w:val="both"/>
      </w:pPr>
      <w:r>
        <w:rPr>
          <w:rFonts w:ascii="Calibri" w:cs="Calibri" w:eastAsia="Calibri" w:hAnsi="Calibri"/>
          <w:sz w:val="19"/>
          <w:szCs w:val="19"/>
        </w:rPr>
        <w:t xml:space="preserve">Which framework applies — the full standards, the standards for small entities, or the international-equivalent framework — affects both preparation and disclosure. Confirm the applicable framework each year rather than continuing with whatever was used at incorporation.</w:t>
      </w:r>
    </w:p>
    <w:p>
      <w:pPr>
        <w:keepNext/>
        <w:spacing w:after="40" w:before="140"/>
      </w:pPr>
      <w:r>
        <w:rPr>
          <w:rFonts w:ascii="Calibri" w:cs="Calibri" w:eastAsia="Calibri" w:hAnsi="Calibri"/>
          <w:b/>
          <w:bCs/>
          <w:color w:val="14161B"/>
          <w:sz w:val="20"/>
          <w:szCs w:val="20"/>
        </w:rPr>
        <w:t xml:space="preserve">Send it, then file it</w:t>
      </w:r>
    </w:p>
    <w:p>
      <w:pPr>
        <w:spacing w:after="60" w:line="264"/>
        <w:jc w:val="both"/>
      </w:pPr>
      <w:r>
        <w:rPr>
          <w:rFonts w:ascii="Calibri" w:cs="Calibri" w:eastAsia="Calibri" w:hAnsi="Calibri"/>
          <w:sz w:val="19"/>
          <w:szCs w:val="19"/>
        </w:rPr>
        <w:t xml:space="preserve">The statement and financial statements must be sent to members within the prescribed period and filed with the annual return in the required format. Preparing them and never circulating them, which happens in owner-managed companies, misses the point of the obligation.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Required content of the Directors’ Statement, small company thresholds, reporting frameworks and filing formats under the Companies Act 1967 all change — have the statement prepared with your accountant or company secretary, and take advice before signing the solvency confirmation where the company is loss-making or dependent on external support.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2026-08-22T06:55:30.481Z</dcterms:created>
  <dcterms:modified xsi:type="dcterms:W3CDTF">2026-08-22T06:55:30.481Z</dcterms:modified>
</cp:coreProperties>
</file>

<file path=docProps/custom.xml><?xml version="1.0" encoding="utf-8"?>
<Properties xmlns="http://schemas.openxmlformats.org/officeDocument/2006/custom-properties" xmlns:vt="http://schemas.openxmlformats.org/officeDocument/2006/docPropsVTypes"/>
</file>