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DIRECTORS’ RESOLUTION IN WRITING</w:t>
      </w:r>
    </w:p>
    <w:p>
      <w:pPr>
        <w:spacing w:after="260"/>
        <w:jc w:val="center"/>
      </w:pPr>
      <w:r>
        <w:rPr>
          <w:rFonts w:ascii="Calibri" w:cs="Calibri" w:eastAsia="Calibri" w:hAnsi="Calibri"/>
          <w:i/>
          <w:iCs/>
          <w:color w:val="6E7480"/>
          <w:sz w:val="19"/>
          <w:szCs w:val="19"/>
        </w:rPr>
        <w:t xml:space="preserve">The default instrument for private company decisions</w:t>
      </w:r>
    </w:p>
    <w:p>
      <w:pPr>
        <w:spacing w:after="180" w:before="0" w:line="276"/>
        <w:jc w:val="both"/>
      </w:pPr>
      <w:r>
        <w:rPr>
          <w:rFonts w:ascii="Calibri" w:cs="Calibri" w:eastAsia="Calibri" w:hAnsi="Calibri"/>
          <w:i/>
          <w:iCs/>
          <w:color w:val="6E7480"/>
          <w:sz w:val="21"/>
          <w:szCs w:val="21"/>
        </w:rPr>
        <w:t xml:space="preserve">Most private companies in Singapore make board decisions by written resolution rather than by convening a meeting. A resolution in writing signed by all directors entitled to receive notice is as valid as one passed at a properly convened meeting — provided </w:t>
      </w:r>
      <w:r>
        <w:rPr>
          <w:rFonts w:ascii="Calibri" w:cs="Calibri" w:eastAsia="Calibri" w:hAnsi="Calibri"/>
          <w:b/>
          <w:bCs/>
          <w:i/>
          <w:iCs/>
          <w:color w:val="6E7480"/>
          <w:sz w:val="21"/>
          <w:szCs w:val="21"/>
        </w:rPr>
        <w:t xml:space="preserve">all</w:t>
      </w:r>
      <w:r>
        <w:rPr>
          <w:rFonts w:ascii="Calibri" w:cs="Calibri" w:eastAsia="Calibri" w:hAnsi="Calibri"/>
          <w:i/>
          <w:iCs/>
          <w:color w:val="6E7480"/>
          <w:sz w:val="21"/>
          <w:szCs w:val="21"/>
        </w:rPr>
        <w:t xml:space="preserve"> of them sign, and provided any interested director has declared their interest first.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Resolution reference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[REF]</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circulated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last signature — </w:t>
            </w:r>
            <w:r>
              <w:rPr>
                <w:rFonts w:ascii="Calibri" w:cs="Calibri" w:eastAsia="Calibri" w:hAnsi="Calibri"/>
                <w:b/>
                <w:bCs/>
                <w:sz w:val="19"/>
                <w:szCs w:val="19"/>
              </w:rPr>
              <w:t xml:space="preserve">the date the resolution is passed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Directors entitled to receive notice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 </w:t>
            </w:r>
            <w:r>
              <w:rPr>
                <w:rFonts w:ascii="Calibri" w:cs="Calibri" w:eastAsia="Calibri" w:hAnsi="Calibri"/>
                <w:b/>
                <w:bCs/>
                <w:sz w:val="19"/>
                <w:szCs w:val="19"/>
              </w:rPr>
              <w:t xml:space="preserve">[NAMES]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Signatures required</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All </w:t>
            </w:r>
            <w:r>
              <w:rPr>
                <w:rFonts w:ascii="Calibri" w:cs="Calibri" w:eastAsia="Calibri" w:hAnsi="Calibri"/>
                <w:b/>
                <w:bCs/>
                <w:sz w:val="19"/>
                <w:szCs w:val="19"/>
              </w:rPr>
              <w:t xml:space="preserve">[NUMBER]</w:t>
            </w:r>
            <w:r>
              <w:rPr>
                <w:rFonts w:ascii="Calibri" w:cs="Calibri" w:eastAsia="Calibri" w:hAnsi="Calibri"/>
                <w:sz w:val="19"/>
                <w:szCs w:val="19"/>
              </w:rPr>
              <w:t xml:space="preserve"> — see the notes</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Interest declared by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 None]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Filed with the Registrar?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form ______ / No]</w:t>
            </w:r>
          </w:p>
        </w:tc>
      </w:tr>
    </w:tbl>
    <w:p>
      <w:pPr>
        <w:spacing w:after="180"/>
      </w:pPr>
    </w:p>
    <w:p>
      <w:pPr>
        <w:keepNext/>
        <w:spacing w:after="120" w:before="280"/>
        <w:outlineLvl w:val="0"/>
      </w:pPr>
      <w:r>
        <w:rPr>
          <w:rFonts w:ascii="Calibri" w:cs="Calibri" w:eastAsia="Calibri" w:hAnsi="Calibri"/>
          <w:b/>
          <w:bCs/>
          <w:color w:val="14161B"/>
          <w:sz w:val="22"/>
          <w:szCs w:val="22"/>
        </w:rPr>
        <w:t xml:space="preserve">FORM OF RESOLUTION</w:t>
      </w:r>
    </w:p>
    <w:p>
      <w:pPr>
        <w:spacing w:after="40" w:before="0" w:line="276"/>
        <w:jc w:val="center"/>
      </w:pPr>
      <w:r>
        <w:rPr>
          <w:rFonts w:ascii="Calibri" w:cs="Calibri" w:eastAsia="Calibri" w:hAnsi="Calibri"/>
          <w:b/>
          <w:bCs/>
          <w:sz w:val="21"/>
          <w:szCs w:val="21"/>
        </w:rPr>
        <w:t xml:space="preserve">[COMPANY NAME]</w:t>
      </w:r>
    </w:p>
    <w:p>
      <w:pPr>
        <w:spacing w:after="40" w:before="0" w:line="276"/>
        <w:jc w:val="center"/>
      </w:pPr>
      <w:r>
        <w:rPr>
          <w:rFonts w:ascii="Calibri" w:cs="Calibri" w:eastAsia="Calibri" w:hAnsi="Calibri"/>
          <w:sz w:val="21"/>
          <w:szCs w:val="21"/>
        </w:rPr>
        <w:t xml:space="preserve">(UEN: </w:t>
      </w:r>
      <w:r>
        <w:rPr>
          <w:rFonts w:ascii="Calibri" w:cs="Calibri" w:eastAsia="Calibri" w:hAnsi="Calibri"/>
          <w:b/>
          <w:bCs/>
          <w:sz w:val="21"/>
          <w:szCs w:val="21"/>
        </w:rPr>
        <w:t xml:space="preserve">[UEN]</w:t>
      </w:r>
      <w:r>
        <w:rPr>
          <w:rFonts w:ascii="Calibri" w:cs="Calibri" w:eastAsia="Calibri" w:hAnsi="Calibri"/>
          <w:sz w:val="21"/>
          <w:szCs w:val="21"/>
        </w:rPr>
        <w:t xml:space="preserve">) (the "</w:t>
      </w:r>
      <w:r>
        <w:rPr>
          <w:rFonts w:ascii="Calibri" w:cs="Calibri" w:eastAsia="Calibri" w:hAnsi="Calibri"/>
          <w:b/>
          <w:bCs/>
          <w:sz w:val="21"/>
          <w:szCs w:val="21"/>
        </w:rPr>
        <w:t xml:space="preserve">Company</w:t>
      </w:r>
      <w:r>
        <w:rPr>
          <w:rFonts w:ascii="Calibri" w:cs="Calibri" w:eastAsia="Calibri" w:hAnsi="Calibri"/>
          <w:sz w:val="21"/>
          <w:szCs w:val="21"/>
        </w:rPr>
        <w:t xml:space="preserve">")</w:t>
      </w:r>
    </w:p>
    <w:p>
      <w:pPr>
        <w:spacing w:after="40" w:before="0" w:line="276"/>
        <w:jc w:val="center"/>
      </w:pPr>
      <w:r>
        <w:rPr>
          <w:rFonts w:ascii="Calibri" w:cs="Calibri" w:eastAsia="Calibri" w:hAnsi="Calibri"/>
          <w:b/>
          <w:bCs/>
          <w:sz w:val="21"/>
          <w:szCs w:val="21"/>
        </w:rPr>
        <w:t xml:space="preserve">RESOLUTION IN WRITING OF THE DIRECTORS</w:t>
      </w:r>
    </w:p>
    <w:p>
      <w:pPr>
        <w:spacing w:after="160" w:before="0" w:line="276"/>
        <w:jc w:val="center"/>
      </w:pPr>
      <w:r>
        <w:rPr>
          <w:rFonts w:ascii="Calibri" w:cs="Calibri" w:eastAsia="Calibri" w:hAnsi="Calibri"/>
          <w:sz w:val="21"/>
          <w:szCs w:val="21"/>
        </w:rPr>
        <w:t xml:space="preserve">passed pursuant to the Constitution of the Company</w:t>
      </w:r>
    </w:p>
    <w:p>
      <w:pPr>
        <w:spacing w:after="140" w:before="0" w:line="276"/>
        <w:jc w:val="both"/>
      </w:pPr>
      <w:r>
        <w:rPr>
          <w:rFonts w:ascii="Calibri" w:cs="Calibri" w:eastAsia="Calibri" w:hAnsi="Calibri"/>
          <w:sz w:val="21"/>
          <w:szCs w:val="21"/>
        </w:rPr>
        <w:t xml:space="preserve">We, the undersigned, being </w:t>
      </w:r>
      <w:r>
        <w:rPr>
          <w:rFonts w:ascii="Calibri" w:cs="Calibri" w:eastAsia="Calibri" w:hAnsi="Calibri"/>
          <w:b/>
          <w:bCs/>
          <w:sz w:val="21"/>
          <w:szCs w:val="21"/>
        </w:rPr>
        <w:t xml:space="preserve">all</w:t>
      </w:r>
      <w:r>
        <w:rPr>
          <w:rFonts w:ascii="Calibri" w:cs="Calibri" w:eastAsia="Calibri" w:hAnsi="Calibri"/>
          <w:sz w:val="21"/>
          <w:szCs w:val="21"/>
        </w:rPr>
        <w:t xml:space="preserve"> the directors of the Company for the time being entitled to receive notice of a meeting of directors, hereby resolve as follows:</w:t>
      </w:r>
    </w:p>
    <w:p>
      <w:pPr>
        <w:spacing w:after="100" w:before="0" w:line="276"/>
        <w:jc w:val="both"/>
      </w:pPr>
      <w:r>
        <w:rPr>
          <w:rFonts w:ascii="Calibri" w:cs="Calibri" w:eastAsia="Calibri" w:hAnsi="Calibri"/>
          <w:b/>
          <w:bCs/>
          <w:sz w:val="21"/>
          <w:szCs w:val="21"/>
        </w:rPr>
        <w:t xml:space="preserve">1. </w:t>
      </w:r>
      <w:r>
        <w:rPr>
          <w:rFonts w:ascii="Calibri" w:cs="Calibri" w:eastAsia="Calibri" w:hAnsi="Calibri"/>
          <w:b/>
          <w:bCs/>
          <w:sz w:val="21"/>
          <w:szCs w:val="21"/>
        </w:rPr>
        <w:t xml:space="preserve">[HEADING OF THE FIRST MATTER]</w:t>
      </w:r>
    </w:p>
    <w:p>
      <w:pPr>
        <w:spacing w:after="100" w:before="0" w:line="276"/>
        <w:jc w:val="both"/>
      </w:pPr>
      <w:r>
        <w:rPr>
          <w:rFonts w:ascii="Calibri" w:cs="Calibri" w:eastAsia="Calibri" w:hAnsi="Calibri"/>
          <w:b/>
          <w:bCs/>
          <w:sz w:val="21"/>
          <w:szCs w:val="21"/>
        </w:rPr>
        <w:t xml:space="preserve">IT WAS NOTED</w:t>
      </w:r>
      <w:r>
        <w:rPr>
          <w:rFonts w:ascii="Calibri" w:cs="Calibri" w:eastAsia="Calibri" w:hAnsi="Calibri"/>
          <w:sz w:val="21"/>
          <w:szCs w:val="21"/>
        </w:rPr>
        <w:t xml:space="preserve"> that </w:t>
      </w:r>
      <w:r>
        <w:rPr>
          <w:rFonts w:ascii="Calibri" w:cs="Calibri" w:eastAsia="Calibri" w:hAnsi="Calibri"/>
          <w:b/>
          <w:bCs/>
          <w:sz w:val="21"/>
          <w:szCs w:val="21"/>
        </w:rPr>
        <w:t xml:space="preserve">[SET OUT THE BACKGROUND AND ANY DOCUMENT CONSIDERED — the resolution should be intelligible to someone reading it in five years with no other context]</w:t>
      </w:r>
      <w:r>
        <w:rPr>
          <w:rFonts w:ascii="Calibri" w:cs="Calibri" w:eastAsia="Calibri" w:hAnsi="Calibri"/>
          <w:sz w:val="21"/>
          <w:szCs w:val="21"/>
        </w:rPr>
        <w:t xml:space="preserve">.</w:t>
      </w:r>
    </w:p>
    <w:p>
      <w:pPr>
        <w:spacing w:after="80" w:before="0" w:line="276"/>
        <w:jc w:val="both"/>
      </w:pPr>
      <w:r>
        <w:rPr>
          <w:rFonts w:ascii="Calibri" w:cs="Calibri" w:eastAsia="Calibri" w:hAnsi="Calibri"/>
          <w:b/>
          <w:bCs/>
          <w:sz w:val="21"/>
          <w:szCs w:val="21"/>
        </w:rPr>
        <w:t xml:space="preserve">IT WAS RESOLVED THAT</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b/>
          <w:bCs/>
          <w:sz w:val="21"/>
          <w:szCs w:val="21"/>
        </w:rPr>
        <w:t xml:space="preserve">[THE OPERATIVE DECISION, STATED PRECISELY]</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[ANY CONDITION OR LIMIT]</w:t>
      </w:r>
      <w:r>
        <w:rPr>
          <w:rFonts w:ascii="Calibri" w:cs="Calibri" w:eastAsia="Calibri" w:hAnsi="Calibri"/>
          <w:sz w:val="21"/>
          <w:szCs w:val="21"/>
        </w:rPr>
        <w:t xml:space="preserve">; and</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any </w:t>
      </w:r>
      <w:r>
        <w:rPr>
          <w:rFonts w:ascii="Calibri" w:cs="Calibri" w:eastAsia="Calibri" w:hAnsi="Calibri"/>
          <w:b/>
          <w:bCs/>
          <w:sz w:val="21"/>
          <w:szCs w:val="21"/>
        </w:rPr>
        <w:t xml:space="preserve">[one director / two directors / a director and the company secretary]</w:t>
      </w:r>
      <w:r>
        <w:rPr>
          <w:rFonts w:ascii="Calibri" w:cs="Calibri" w:eastAsia="Calibri" w:hAnsi="Calibri"/>
          <w:sz w:val="21"/>
          <w:szCs w:val="21"/>
        </w:rPr>
        <w:t xml:space="preserve"> be and is hereby authorised to do all such acts and execute all such documents as may be necessary or expedient to give effect to this resolution.</w:t>
      </w:r>
    </w:p>
    <w:p>
      <w:pPr>
        <w:spacing w:after="100" w:before="140" w:line="276"/>
        <w:jc w:val="both"/>
      </w:pPr>
      <w:r>
        <w:rPr>
          <w:rFonts w:ascii="Calibri" w:cs="Calibri" w:eastAsia="Calibri" w:hAnsi="Calibri"/>
          <w:b/>
          <w:bCs/>
          <w:sz w:val="21"/>
          <w:szCs w:val="21"/>
        </w:rPr>
        <w:t xml:space="preserve">2. </w:t>
      </w:r>
      <w:r>
        <w:rPr>
          <w:rFonts w:ascii="Calibri" w:cs="Calibri" w:eastAsia="Calibri" w:hAnsi="Calibri"/>
          <w:b/>
          <w:bCs/>
          <w:sz w:val="21"/>
          <w:szCs w:val="21"/>
        </w:rPr>
        <w:t xml:space="preserve">[HEADING OF THE SECOND MATTER]</w:t>
      </w:r>
    </w:p>
    <w:p>
      <w:pPr>
        <w:spacing w:after="140" w:before="0" w:line="276"/>
        <w:jc w:val="both"/>
      </w:pPr>
      <w:r>
        <w:rPr>
          <w:rFonts w:ascii="Calibri" w:cs="Calibri" w:eastAsia="Calibri" w:hAnsi="Calibri"/>
          <w:b/>
          <w:bCs/>
          <w:sz w:val="21"/>
          <w:szCs w:val="21"/>
        </w:rPr>
        <w:t xml:space="preserve">IT WAS RESOLVED THAT</w:t>
      </w:r>
      <w:r>
        <w:rPr>
          <w:rFonts w:ascii="Calibri" w:cs="Calibri" w:eastAsia="Calibri" w:hAnsi="Calibri"/>
          <w:sz w:val="21"/>
          <w:szCs w:val="21"/>
        </w:rPr>
        <w:t xml:space="preserve"> </w:t>
      </w:r>
      <w:r>
        <w:rPr>
          <w:rFonts w:ascii="Calibri" w:cs="Calibri" w:eastAsia="Calibri" w:hAnsi="Calibri"/>
          <w:b/>
          <w:bCs/>
          <w:sz w:val="21"/>
          <w:szCs w:val="21"/>
        </w:rPr>
        <w:t xml:space="preserve">[DECISION]</w:t>
      </w:r>
      <w:r>
        <w:rPr>
          <w:rFonts w:ascii="Calibri" w:cs="Calibri" w:eastAsia="Calibri" w:hAnsi="Calibri"/>
          <w:sz w:val="21"/>
          <w:szCs w:val="21"/>
        </w:rPr>
        <w:t xml:space="preserve">.</w:t>
      </w:r>
    </w:p>
    <w:p>
      <w:pPr>
        <w:spacing w:after="200" w:before="0" w:line="276"/>
        <w:jc w:val="both"/>
      </w:pPr>
      <w:r>
        <w:rPr>
          <w:rFonts w:ascii="Calibri" w:cs="Calibri" w:eastAsia="Calibri" w:hAnsi="Calibri"/>
          <w:sz w:val="21"/>
          <w:szCs w:val="21"/>
        </w:rPr>
        <w:t xml:space="preserve">This resolution may be signed in counterparts, each of which is an original and all of which together constitute one instrument. </w:t>
      </w:r>
      <w:r>
        <w:rPr>
          <w:rFonts w:ascii="Calibri" w:cs="Calibri" w:eastAsia="Calibri" w:hAnsi="Calibri"/>
          <w:b/>
          <w:bCs/>
          <w:sz w:val="21"/>
          <w:szCs w:val="21"/>
        </w:rPr>
        <w:t xml:space="preserve">This resolution takes effect on the date the last director signs.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3855"/>
        <w:gridCol w:w="1928"/>
      </w:tblGrid>
      <w:tr>
        <w:trPr>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Director</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Signature</w:t>
            </w:r>
          </w:p>
        </w:tc>
        <w:tc>
          <w:tcPr>
            <w:tcW w:type="dxa" w:w="192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_______________________</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_______________________</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_______________________</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_______________________</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 A</w:t>
      </w:r>
    </w:p>
    <w:p>
      <w:pPr>
        <w:spacing w:after="260"/>
        <w:jc w:val="center"/>
      </w:pPr>
      <w:r>
        <w:rPr>
          <w:rFonts w:ascii="Calibri" w:cs="Calibri" w:eastAsia="Calibri" w:hAnsi="Calibri"/>
          <w:i/>
          <w:iCs/>
          <w:color w:val="6E7480"/>
          <w:sz w:val="19"/>
          <w:szCs w:val="19"/>
        </w:rPr>
        <w:t xml:space="preserve">Common Resolutions — Drafting Notes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4433"/>
        <w:gridCol w:w="3085"/>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Matter</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What the resolution must capture</w:t>
            </w:r>
          </w:p>
        </w:tc>
        <w:tc>
          <w:tcPr>
            <w:tcW w:type="dxa" w:w="30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Follow-up</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Opening a bank account</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bank, the account type, the mandate, the authorised signatories and any limits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Bank mandate forms; certified copy of the resolution</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Changing signatories</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Who is added, who is removed, effective date, revised limits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Update the mandate the same day someone leaves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Appointing a director</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Name, identification, consent to act obtained, confirmation they are not disqualified, effective date</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File with the Registrar within the prescribed period</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Resignation of a director</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Name, effective date, and that at least one director ordinarily resident in Singapore remains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File; check the residency requirement first</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Appointing a company secretary</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Name, ordinarily resident in Singapore, effective date</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File within the prescribed period</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Allotting shares</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Allottee, number and class, consideration, that any pre-emption has been complied with or waived</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Return of allotment within 14 days</w:t>
            </w:r>
            <w:r>
              <w:rPr>
                <w:rFonts w:ascii="Calibri" w:cs="Calibri" w:eastAsia="Calibri" w:hAnsi="Calibri"/>
                <w:sz w:val="17"/>
                <w:szCs w:val="17"/>
              </w:rPr>
              <w:t xml:space="preserve">; update the register</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Approving a share transfer</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Transferor, transferee, number and class, that the instrument is duly stamped</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Lodge the transfer; stamp within the prescribed period</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Borrowing or granting security</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Lender, amount, term, security granted, who signs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Register any charge within the prescribed period</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Approving financial statements</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period, that the directors are satisfied as to solvency where relevant</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Directors’ statement; audit or exemption; annual return</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Declaring a dividend</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Amount per share, class, record date, payment date, </w:t>
            </w:r>
            <w:r>
              <w:rPr>
                <w:rFonts w:ascii="Calibri" w:cs="Calibri" w:eastAsia="Calibri" w:hAnsi="Calibri"/>
                <w:b/>
                <w:bCs/>
                <w:sz w:val="17"/>
                <w:szCs w:val="17"/>
              </w:rPr>
              <w:t xml:space="preserve">that profits are available</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profits before, not after</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Interested person transaction</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interest declared, who abstained, the commercial terms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 the declaration in the interests register</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Changing the registered office</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New address, effective date, office hours</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File within the prescribed period</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Changing the financial year end</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Old and new dates, reason</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the Registrar; conditions apply</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Appointing an auditor</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Name, or that the Company is exempt as a small company</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the exemption still applies</w:t>
            </w:r>
          </w:p>
        </w:tc>
      </w:tr>
    </w:tbl>
    <w:p>
      <w:pPr>
        <w:spacing w:after="160"/>
      </w:pPr>
    </w:p>
    <w:p>
      <w:pPr>
        <w:spacing w:after="60" w:before="240"/>
        <w:jc w:val="center"/>
      </w:pPr>
      <w:r>
        <w:rPr>
          <w:rFonts w:ascii="Calibri" w:cs="Calibri" w:eastAsia="Calibri" w:hAnsi="Calibri"/>
          <w:b/>
          <w:bCs/>
          <w:color w:val="14161B"/>
          <w:spacing w:val="12"/>
          <w:sz w:val="28"/>
          <w:szCs w:val="28"/>
        </w:rPr>
        <w:t xml:space="preserve">ANNEXURE B</w:t>
      </w:r>
    </w:p>
    <w:p>
      <w:pPr>
        <w:spacing w:after="260"/>
        <w:jc w:val="center"/>
      </w:pPr>
      <w:r>
        <w:rPr>
          <w:rFonts w:ascii="Calibri" w:cs="Calibri" w:eastAsia="Calibri" w:hAnsi="Calibri"/>
          <w:i/>
          <w:iCs/>
          <w:color w:val="6E7480"/>
          <w:sz w:val="19"/>
          <w:szCs w:val="19"/>
        </w:rPr>
        <w:t xml:space="preserve">Resolution Register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867"/>
        <w:gridCol w:w="1156"/>
        <w:gridCol w:w="1060"/>
        <w:gridCol w:w="2120"/>
        <w:gridCol w:w="1349"/>
        <w:gridCol w:w="867"/>
        <w:gridCol w:w="1060"/>
        <w:gridCol w:w="774"/>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Ref</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 circulated</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 passed</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Subject</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Interested director</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All signed?</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Filing required</w:t>
            </w:r>
          </w:p>
        </w:tc>
        <w:tc>
          <w:tcPr>
            <w:tcW w:type="dxa" w:w="77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Filed 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[REF]</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[SUBJECT]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 / None]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[FORM]</w:t>
            </w:r>
          </w:p>
        </w:tc>
        <w:tc>
          <w:tcPr>
            <w:tcW w:type="dxa" w:w="77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[REF]</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[SUBJECT]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 / None]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[FORM]</w:t>
            </w:r>
          </w:p>
        </w:tc>
        <w:tc>
          <w:tcPr>
            <w:tcW w:type="dxa" w:w="77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[REF]</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[SUBJECT]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 / None]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[Y/N]</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[FORM]</w:t>
            </w:r>
          </w:p>
        </w:tc>
        <w:tc>
          <w:tcPr>
            <w:tcW w:type="dxa" w:w="77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All directors must sign, not a majority</w:t>
      </w:r>
    </w:p>
    <w:p>
      <w:pPr>
        <w:spacing w:after="60" w:line="264"/>
        <w:jc w:val="both"/>
      </w:pPr>
      <w:r>
        <w:rPr>
          <w:rFonts w:ascii="Calibri" w:cs="Calibri" w:eastAsia="Calibri" w:hAnsi="Calibri"/>
          <w:sz w:val="19"/>
          <w:szCs w:val="19"/>
        </w:rPr>
        <w:t xml:space="preserve">A written resolution requires the signature of </w:t>
      </w:r>
      <w:r>
        <w:rPr>
          <w:rFonts w:ascii="Calibri" w:cs="Calibri" w:eastAsia="Calibri" w:hAnsi="Calibri"/>
          <w:b/>
          <w:bCs/>
          <w:sz w:val="19"/>
          <w:szCs w:val="19"/>
        </w:rPr>
        <w:t xml:space="preserve">every</w:t>
      </w:r>
      <w:r>
        <w:rPr>
          <w:rFonts w:ascii="Calibri" w:cs="Calibri" w:eastAsia="Calibri" w:hAnsi="Calibri"/>
          <w:sz w:val="19"/>
          <w:szCs w:val="19"/>
        </w:rPr>
        <w:t xml:space="preserve"> director entitled to receive notice of a board meeting. This differs from a meeting, where a majority of those present and voting carries the day. Where one director will not sign, a written resolution is not available and a meeting must be convened. Companies frequently assume a majority suffices and end up with an invalid resolution.</w:t>
      </w:r>
    </w:p>
    <w:p>
      <w:pPr>
        <w:keepNext/>
        <w:spacing w:after="40" w:before="140"/>
      </w:pPr>
      <w:r>
        <w:rPr>
          <w:rFonts w:ascii="Calibri" w:cs="Calibri" w:eastAsia="Calibri" w:hAnsi="Calibri"/>
          <w:b/>
          <w:bCs/>
          <w:color w:val="14161B"/>
          <w:sz w:val="20"/>
          <w:szCs w:val="20"/>
        </w:rPr>
        <w:t xml:space="preserve">The date of passing is the date of the last signature</w:t>
      </w:r>
    </w:p>
    <w:p>
      <w:pPr>
        <w:spacing w:after="60" w:line="264"/>
        <w:jc w:val="both"/>
      </w:pPr>
      <w:r>
        <w:rPr>
          <w:rFonts w:ascii="Calibri" w:cs="Calibri" w:eastAsia="Calibri" w:hAnsi="Calibri"/>
          <w:sz w:val="19"/>
          <w:szCs w:val="19"/>
        </w:rPr>
        <w:t xml:space="preserve">Where directors sign on different days, the resolution takes effect when the last one signs, not when it was circulated or when the first signed. This matters for filing deadlines, effective dates and anything time-sensitive. State both dates in the register.</w:t>
      </w:r>
    </w:p>
    <w:p>
      <w:pPr>
        <w:keepNext/>
        <w:spacing w:after="40" w:before="140"/>
      </w:pPr>
      <w:r>
        <w:rPr>
          <w:rFonts w:ascii="Calibri" w:cs="Calibri" w:eastAsia="Calibri" w:hAnsi="Calibri"/>
          <w:b/>
          <w:bCs/>
          <w:color w:val="14161B"/>
          <w:sz w:val="20"/>
          <w:szCs w:val="20"/>
        </w:rPr>
        <w:t xml:space="preserve">Check the constitution permits it</w:t>
      </w:r>
    </w:p>
    <w:p>
      <w:pPr>
        <w:spacing w:after="60" w:line="264"/>
        <w:jc w:val="both"/>
      </w:pPr>
      <w:r>
        <w:rPr>
          <w:rFonts w:ascii="Calibri" w:cs="Calibri" w:eastAsia="Calibri" w:hAnsi="Calibri"/>
          <w:sz w:val="19"/>
          <w:szCs w:val="19"/>
        </w:rPr>
        <w:t xml:space="preserve">Written resolutions are permitted by the Model Constitution and by most bespoke constitutions, but the mechanism and any conditions come from the constitution. Confirm before relying on it, particularly where the company adopted a constitution drafted for a specific investor structure.</w:t>
      </w:r>
    </w:p>
    <w:p>
      <w:pPr>
        <w:keepNext/>
        <w:spacing w:after="40" w:before="140"/>
      </w:pPr>
      <w:r>
        <w:rPr>
          <w:rFonts w:ascii="Calibri" w:cs="Calibri" w:eastAsia="Calibri" w:hAnsi="Calibri"/>
          <w:b/>
          <w:bCs/>
          <w:color w:val="14161B"/>
          <w:sz w:val="20"/>
          <w:szCs w:val="20"/>
        </w:rPr>
        <w:t xml:space="preserve">Declare interests first</w:t>
      </w:r>
    </w:p>
    <w:p>
      <w:pPr>
        <w:spacing w:after="60" w:line="264"/>
        <w:jc w:val="both"/>
      </w:pPr>
      <w:r>
        <w:rPr>
          <w:rFonts w:ascii="Calibri" w:cs="Calibri" w:eastAsia="Calibri" w:hAnsi="Calibri"/>
          <w:sz w:val="19"/>
          <w:szCs w:val="19"/>
        </w:rPr>
        <w:t xml:space="preserve">A director must declare the nature and extent of any interest in a transaction with the company. That declaration must be made before the resolution, not recorded afterwards, and whether the interested director may sign or count towards the requirement depends on the constitution. Getting this wrong makes the resolution vulnerable and exposes the director personally.</w:t>
      </w:r>
    </w:p>
    <w:p>
      <w:pPr>
        <w:keepNext/>
        <w:spacing w:after="40" w:before="140"/>
      </w:pPr>
      <w:r>
        <w:rPr>
          <w:rFonts w:ascii="Calibri" w:cs="Calibri" w:eastAsia="Calibri" w:hAnsi="Calibri"/>
          <w:b/>
          <w:bCs/>
          <w:color w:val="14161B"/>
          <w:sz w:val="20"/>
          <w:szCs w:val="20"/>
        </w:rPr>
        <w:t xml:space="preserve">Write it so a stranger can follow it</w:t>
      </w:r>
    </w:p>
    <w:p>
      <w:pPr>
        <w:spacing w:after="60" w:line="264"/>
        <w:jc w:val="both"/>
      </w:pPr>
      <w:r>
        <w:rPr>
          <w:rFonts w:ascii="Calibri" w:cs="Calibri" w:eastAsia="Calibri" w:hAnsi="Calibri"/>
          <w:sz w:val="19"/>
          <w:szCs w:val="19"/>
        </w:rPr>
        <w:t xml:space="preserve">Board resolutions are read years later by auditors, buyers in due diligence, banks and lawyers, none of whom have the context. A resolution reading "the proposal discussed was approved" is worthless. Set out what was considered and what was decided.</w:t>
      </w:r>
    </w:p>
    <w:p>
      <w:pPr>
        <w:keepNext/>
        <w:spacing w:after="40" w:before="140"/>
      </w:pPr>
      <w:r>
        <w:rPr>
          <w:rFonts w:ascii="Calibri" w:cs="Calibri" w:eastAsia="Calibri" w:hAnsi="Calibri"/>
          <w:b/>
          <w:bCs/>
          <w:color w:val="14161B"/>
          <w:sz w:val="20"/>
          <w:szCs w:val="20"/>
        </w:rPr>
        <w:t xml:space="preserve">Authorise execution explicitly</w:t>
      </w:r>
    </w:p>
    <w:p>
      <w:pPr>
        <w:spacing w:after="60" w:line="264"/>
        <w:jc w:val="both"/>
      </w:pPr>
      <w:r>
        <w:rPr>
          <w:rFonts w:ascii="Calibri" w:cs="Calibri" w:eastAsia="Calibri" w:hAnsi="Calibri"/>
          <w:sz w:val="19"/>
          <w:szCs w:val="19"/>
        </w:rPr>
        <w:t xml:space="preserve">The final limb of the operative paragraph — authorising named individuals or offices to sign whatever is needed — saves a second resolution when the bank or counterparty asks for a form nobody anticipated. Specify who, and whether one or two signatures are required.</w:t>
      </w:r>
    </w:p>
    <w:p>
      <w:pPr>
        <w:keepNext/>
        <w:spacing w:after="40" w:before="140"/>
      </w:pPr>
      <w:r>
        <w:rPr>
          <w:rFonts w:ascii="Calibri" w:cs="Calibri" w:eastAsia="Calibri" w:hAnsi="Calibri"/>
          <w:b/>
          <w:bCs/>
          <w:color w:val="14161B"/>
          <w:sz w:val="20"/>
          <w:szCs w:val="20"/>
        </w:rPr>
        <w:t xml:space="preserve">Counterparts and electronic signature</w:t>
      </w:r>
    </w:p>
    <w:p>
      <w:pPr>
        <w:spacing w:after="60" w:line="264"/>
        <w:jc w:val="both"/>
      </w:pPr>
      <w:r>
        <w:rPr>
          <w:rFonts w:ascii="Calibri" w:cs="Calibri" w:eastAsia="Calibri" w:hAnsi="Calibri"/>
          <w:sz w:val="19"/>
          <w:szCs w:val="19"/>
        </w:rPr>
        <w:t xml:space="preserve">Signing in counterparts is standard and the clause is included. Electronic signature is generally acceptable for board resolutions, but some banks, registries and counterparties insist on wet ink or certified copies. Check before circulating if the resolution supports a filing or a bank mandate.</w:t>
      </w:r>
    </w:p>
    <w:p>
      <w:pPr>
        <w:keepNext/>
        <w:spacing w:after="40" w:before="140"/>
      </w:pPr>
      <w:r>
        <w:rPr>
          <w:rFonts w:ascii="Calibri" w:cs="Calibri" w:eastAsia="Calibri" w:hAnsi="Calibri"/>
          <w:b/>
          <w:bCs/>
          <w:color w:val="14161B"/>
          <w:sz w:val="20"/>
          <w:szCs w:val="20"/>
        </w:rPr>
        <w:t xml:space="preserve">Filing obligations follow many resolutions</w:t>
      </w:r>
    </w:p>
    <w:p>
      <w:pPr>
        <w:spacing w:after="60" w:line="264"/>
        <w:jc w:val="both"/>
      </w:pPr>
      <w:r>
        <w:rPr>
          <w:rFonts w:ascii="Calibri" w:cs="Calibri" w:eastAsia="Calibri" w:hAnsi="Calibri"/>
          <w:sz w:val="19"/>
          <w:szCs w:val="19"/>
        </w:rPr>
        <w:t xml:space="preserve">Director and secretary appointments and resignations, share allotments, changes of registered office and charge registrations all carry filing deadlines with the Registrar. The resolution is the internal record; the filing is what makes it effective against the world. Annexure B tracks both.</w:t>
      </w:r>
    </w:p>
    <w:p>
      <w:pPr>
        <w:keepNext/>
        <w:spacing w:after="40" w:before="140"/>
      </w:pPr>
      <w:r>
        <w:rPr>
          <w:rFonts w:ascii="Calibri" w:cs="Calibri" w:eastAsia="Calibri" w:hAnsi="Calibri"/>
          <w:b/>
          <w:bCs/>
          <w:color w:val="14161B"/>
          <w:sz w:val="20"/>
          <w:szCs w:val="20"/>
        </w:rPr>
        <w:t xml:space="preserve">Return of allotment within fourteen days</w:t>
      </w:r>
    </w:p>
    <w:p>
      <w:pPr>
        <w:spacing w:after="60" w:line="264"/>
        <w:jc w:val="both"/>
      </w:pPr>
      <w:r>
        <w:rPr>
          <w:rFonts w:ascii="Calibri" w:cs="Calibri" w:eastAsia="Calibri" w:hAnsi="Calibri"/>
          <w:sz w:val="19"/>
          <w:szCs w:val="19"/>
        </w:rPr>
        <w:t xml:space="preserve">Share allotments must be notified within the prescribed period, and the register of members maintained by the Registrar is what determines legal title for a private company. A resolution allotting shares that is never filed leaves the allottee off the register that matters.</w:t>
      </w:r>
    </w:p>
    <w:p>
      <w:pPr>
        <w:keepNext/>
        <w:spacing w:after="40" w:before="140"/>
      </w:pPr>
      <w:r>
        <w:rPr>
          <w:rFonts w:ascii="Calibri" w:cs="Calibri" w:eastAsia="Calibri" w:hAnsi="Calibri"/>
          <w:b/>
          <w:bCs/>
          <w:color w:val="14161B"/>
          <w:sz w:val="20"/>
          <w:szCs w:val="20"/>
        </w:rPr>
        <w:t xml:space="preserve">Check residency before accepting a resignation</w:t>
      </w:r>
    </w:p>
    <w:p>
      <w:pPr>
        <w:spacing w:after="60" w:line="264"/>
        <w:jc w:val="both"/>
      </w:pPr>
      <w:r>
        <w:rPr>
          <w:rFonts w:ascii="Calibri" w:cs="Calibri" w:eastAsia="Calibri" w:hAnsi="Calibri"/>
          <w:sz w:val="19"/>
          <w:szCs w:val="19"/>
        </w:rPr>
        <w:t xml:space="preserve">At least one director must be ordinarily resident in Singapore, as a continuing requirement. A resolution accepting a resignation that leaves the company without one puts it in breach immediately, and a sole director cannot resign into a vacancy at all.</w:t>
      </w:r>
    </w:p>
    <w:p>
      <w:pPr>
        <w:keepNext/>
        <w:spacing w:after="40" w:before="140"/>
      </w:pPr>
      <w:r>
        <w:rPr>
          <w:rFonts w:ascii="Calibri" w:cs="Calibri" w:eastAsia="Calibri" w:hAnsi="Calibri"/>
          <w:b/>
          <w:bCs/>
          <w:color w:val="14161B"/>
          <w:sz w:val="20"/>
          <w:szCs w:val="20"/>
        </w:rPr>
        <w:t xml:space="preserve">Dividends only out of profits</w:t>
      </w:r>
    </w:p>
    <w:p>
      <w:pPr>
        <w:spacing w:after="60" w:line="264"/>
        <w:jc w:val="both"/>
      </w:pPr>
      <w:r>
        <w:rPr>
          <w:rFonts w:ascii="Calibri" w:cs="Calibri" w:eastAsia="Calibri" w:hAnsi="Calibri"/>
          <w:sz w:val="19"/>
          <w:szCs w:val="19"/>
        </w:rPr>
        <w:t xml:space="preserve">A resolution declaring a dividend should record that the directors are satisfied profits are available. Paying otherwise exposes directors personally, and in a company with accumulated losses this is a live issue rather than a formality.</w:t>
      </w:r>
    </w:p>
    <w:p>
      <w:pPr>
        <w:keepNext/>
        <w:spacing w:after="40" w:before="140"/>
      </w:pPr>
      <w:r>
        <w:rPr>
          <w:rFonts w:ascii="Calibri" w:cs="Calibri" w:eastAsia="Calibri" w:hAnsi="Calibri"/>
          <w:b/>
          <w:bCs/>
          <w:color w:val="14161B"/>
          <w:sz w:val="20"/>
          <w:szCs w:val="20"/>
        </w:rPr>
        <w:t xml:space="preserve">Keep the signed originals together</w:t>
      </w:r>
    </w:p>
    <w:p>
      <w:pPr>
        <w:spacing w:after="60" w:line="264"/>
        <w:jc w:val="both"/>
      </w:pPr>
      <w:r>
        <w:rPr>
          <w:rFonts w:ascii="Calibri" w:cs="Calibri" w:eastAsia="Calibri" w:hAnsi="Calibri"/>
          <w:sz w:val="19"/>
          <w:szCs w:val="19"/>
        </w:rPr>
        <w:t xml:space="preserve">Signed resolutions, minute books and registers should sit in one place with the company secretary. Resolutions scattered across email threads and personal drives are the single most common gap found in due diligence, and reconstructing them years later is expensive.</w:t>
      </w:r>
    </w:p>
    <w:p>
      <w:pPr>
        <w:keepNext/>
        <w:spacing w:after="40" w:before="140"/>
      </w:pPr>
      <w:r>
        <w:rPr>
          <w:rFonts w:ascii="Calibri" w:cs="Calibri" w:eastAsia="Calibri" w:hAnsi="Calibri"/>
          <w:b/>
          <w:bCs/>
          <w:color w:val="14161B"/>
          <w:sz w:val="20"/>
          <w:szCs w:val="20"/>
        </w:rPr>
        <w:t xml:space="preserve">A meeting is sometimes better</w:t>
      </w:r>
    </w:p>
    <w:p>
      <w:pPr>
        <w:spacing w:after="60" w:line="264"/>
        <w:jc w:val="both"/>
      </w:pPr>
      <w:r>
        <w:rPr>
          <w:rFonts w:ascii="Calibri" w:cs="Calibri" w:eastAsia="Calibri" w:hAnsi="Calibri"/>
          <w:sz w:val="19"/>
          <w:szCs w:val="19"/>
        </w:rPr>
        <w:t xml:space="preserve">Where a decision is genuinely contested, involves a conflict, or would benefit from discussion, convene a meeting and minute the debate. A written resolution records an outcome and nothing about the reasoning — which is unhelpful if the decision is later scrutinised.</w:t>
      </w:r>
    </w:p>
    <w:p>
      <w:pPr>
        <w:keepNext/>
        <w:spacing w:after="40" w:before="140"/>
      </w:pPr>
      <w:r>
        <w:rPr>
          <w:rFonts w:ascii="Calibri" w:cs="Calibri" w:eastAsia="Calibri" w:hAnsi="Calibri"/>
          <w:b/>
          <w:bCs/>
          <w:color w:val="14161B"/>
          <w:sz w:val="20"/>
          <w:szCs w:val="20"/>
        </w:rPr>
        <w:t xml:space="preserve">Sole director companies</w:t>
      </w:r>
    </w:p>
    <w:p>
      <w:pPr>
        <w:spacing w:after="60" w:line="264"/>
        <w:jc w:val="both"/>
      </w:pPr>
      <w:r>
        <w:rPr>
          <w:rFonts w:ascii="Calibri" w:cs="Calibri" w:eastAsia="Calibri" w:hAnsi="Calibri"/>
          <w:sz w:val="19"/>
          <w:szCs w:val="19"/>
        </w:rPr>
        <w:t xml:space="preserve">A single director may pass resolutions alone, but the same formality applies: record the decision, declare any interest, and file what needs filing. Informality is the most common weakness in single-director companies and the first thing an acquirer notices.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Filing deadlines and forms under the Companies Act 1967, requirements on directors’ declarations, and registry procedures all change — have significant resolutions reviewed by a company secretary or corporate lawyer, particularly those supporting a transaction or a filing.</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2026-08-22T06:55:30.060Z</dcterms:created>
  <dcterms:modified xsi:type="dcterms:W3CDTF">2026-08-22T06:55:30.060Z</dcterms:modified>
</cp:coreProperties>
</file>

<file path=docProps/custom.xml><?xml version="1.0" encoding="utf-8"?>
<Properties xmlns="http://schemas.openxmlformats.org/officeDocument/2006/custom-properties" xmlns:vt="http://schemas.openxmlformats.org/officeDocument/2006/docPropsVTypes"/>
</file>