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PROCESSING ADDENDUM</w:t>
      </w:r>
    </w:p>
    <w:p>
      <w:pPr>
        <w:spacing w:after="260"/>
        <w:jc w:val="center"/>
      </w:pPr>
      <w:r>
        <w:rPr>
          <w:rFonts w:ascii="Calibri" w:cs="Calibri" w:eastAsia="Calibri" w:hAnsi="Calibri"/>
          <w:i/>
          <w:iCs/>
          <w:color w:val="6E7480"/>
          <w:sz w:val="19"/>
          <w:szCs w:val="19"/>
        </w:rPr>
        <w:t xml:space="preserve">Where a vendor processes personal data on our behalf</w:t>
      </w:r>
    </w:p>
    <w:p>
      <w:pPr>
        <w:spacing w:after="180" w:before="0" w:line="276"/>
        <w:jc w:val="both"/>
      </w:pPr>
      <w:r>
        <w:rPr>
          <w:rFonts w:ascii="Calibri" w:cs="Calibri" w:eastAsia="Calibri" w:hAnsi="Calibri"/>
          <w:i/>
          <w:iCs/>
          <w:color w:val="6E7480"/>
          <w:sz w:val="21"/>
          <w:szCs w:val="21"/>
        </w:rPr>
        <w:t xml:space="preserve">Engaging a processor does not transfer the obligation. The organisation that determines what happens to the data remains responsible under the Act, and is the one that must notify the Commission if the vendor is breached. This addendum is the control that makes that responsibility manageable — particularly the requirement that the vendor tell you </w:t>
      </w:r>
      <w:r>
        <w:rPr>
          <w:rFonts w:ascii="Calibri" w:cs="Calibri" w:eastAsia="Calibri" w:hAnsi="Calibri"/>
          <w:b/>
          <w:bCs/>
          <w:i/>
          <w:iCs/>
          <w:color w:val="6E7480"/>
          <w:sz w:val="21"/>
          <w:szCs w:val="21"/>
        </w:rPr>
        <w:t xml:space="preserve">immediately</w:t>
      </w:r>
      <w:r>
        <w:rPr>
          <w:rFonts w:ascii="Calibri" w:cs="Calibri" w:eastAsia="Calibri" w:hAnsi="Calibri"/>
          <w:i/>
          <w:iCs/>
          <w:color w:val="6E7480"/>
          <w:sz w:val="21"/>
          <w:szCs w:val="21"/>
        </w:rPr>
        <w:t xml:space="preserve">.</w:t>
      </w:r>
    </w:p>
    <w:p>
      <w:pPr>
        <w:spacing w:after="140" w:before="0" w:line="276"/>
        <w:jc w:val="both"/>
      </w:pPr>
      <w:r>
        <w:rPr>
          <w:rFonts w:ascii="Calibri" w:cs="Calibri" w:eastAsia="Calibri" w:hAnsi="Calibri"/>
          <w:b/>
          <w:bCs/>
          <w:sz w:val="21"/>
          <w:szCs w:val="21"/>
        </w:rPr>
        <w:t xml:space="preserve">THIS ADDENDUM</w:t>
      </w:r>
      <w:r>
        <w:rPr>
          <w:rFonts w:ascii="Calibri" w:cs="Calibri" w:eastAsia="Calibri" w:hAnsi="Calibri"/>
          <w:sz w:val="21"/>
          <w:szCs w:val="21"/>
        </w:rPr>
        <w:t xml:space="preserve"> forms part of the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Organisation</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[VENDOR NAME]</w:t>
      </w:r>
      <w:r>
        <w:rPr>
          <w:rFonts w:ascii="Calibri" w:cs="Calibri" w:eastAsia="Calibri" w:hAnsi="Calibri"/>
          <w:sz w:val="21"/>
          <w:szCs w:val="21"/>
        </w:rPr>
        <w:t xml:space="preserve">, </w:t>
      </w:r>
      <w:r>
        <w:rPr>
          <w:rFonts w:ascii="Calibri" w:cs="Calibri" w:eastAsia="Calibri" w:hAnsi="Calibri"/>
          <w:b/>
          <w:bCs/>
          <w:sz w:val="21"/>
          <w:szCs w:val="21"/>
        </w:rPr>
        <w:t xml:space="preserve">[registration details]</w:t>
      </w:r>
      <w:r>
        <w:rPr>
          <w:rFonts w:ascii="Calibri" w:cs="Calibri" w:eastAsia="Calibri" w:hAnsi="Calibri"/>
          <w:sz w:val="21"/>
          <w:szCs w:val="21"/>
        </w:rPr>
        <w:t xml:space="preserve"> (the "</w:t>
      </w:r>
      <w:r>
        <w:rPr>
          <w:rFonts w:ascii="Calibri" w:cs="Calibri" w:eastAsia="Calibri" w:hAnsi="Calibri"/>
          <w:b/>
          <w:bCs/>
          <w:sz w:val="21"/>
          <w:szCs w:val="21"/>
        </w:rPr>
        <w:t xml:space="preserve">Processor</w:t>
      </w:r>
      <w:r>
        <w:rPr>
          <w:rFonts w:ascii="Calibri" w:cs="Calibri" w:eastAsia="Calibri" w:hAnsi="Calibri"/>
          <w:sz w:val="21"/>
          <w:szCs w:val="21"/>
        </w:rPr>
        <w:t xml:space="preserve">").</w:t>
      </w:r>
    </w:p>
    <w:p>
      <w:pPr>
        <w:spacing w:after="140" w:before="120" w:line="276"/>
        <w:jc w:val="both"/>
      </w:pPr>
      <w:r>
        <w:rPr>
          <w:rFonts w:ascii="Calibri" w:cs="Calibri" w:eastAsia="Calibri" w:hAnsi="Calibri"/>
          <w:i/>
          <w:iCs/>
          <w:sz w:val="21"/>
          <w:szCs w:val="21"/>
        </w:rPr>
        <w:t xml:space="preserve">Where this Addendum conflicts with the agreement, this Addendum prevails in respect of personal data.</w:t>
      </w:r>
    </w:p>
    <w:p>
      <w:pPr>
        <w:keepNext/>
        <w:spacing w:after="120" w:before="280"/>
        <w:outlineLvl w:val="0"/>
      </w:pPr>
      <w:r>
        <w:rPr>
          <w:rFonts w:ascii="Calibri" w:cs="Calibri" w:eastAsia="Calibri" w:hAnsi="Calibri"/>
          <w:b/>
          <w:bCs/>
          <w:color w:val="14161B"/>
          <w:sz w:val="22"/>
          <w:szCs w:val="22"/>
        </w:rPr>
        <w:t xml:space="preserve">1. DEFINITIONS AND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w:t>
      </w:r>
      <w:r>
        <w:rPr>
          <w:rFonts w:ascii="Calibri" w:cs="Calibri" w:eastAsia="Calibri" w:hAnsi="Calibri"/>
          <w:b/>
          <w:bCs/>
          <w:sz w:val="21"/>
          <w:szCs w:val="21"/>
        </w:rPr>
        <w:t xml:space="preserve">Personal Data</w:t>
      </w:r>
      <w:r>
        <w:rPr>
          <w:rFonts w:ascii="Calibri" w:cs="Calibri" w:eastAsia="Calibri" w:hAnsi="Calibri"/>
          <w:sz w:val="21"/>
          <w:szCs w:val="21"/>
        </w:rPr>
        <w:t xml:space="preserve">" has the meaning given in the Personal Data Protection Act 2012. "</w:t>
      </w:r>
      <w:r>
        <w:rPr>
          <w:rFonts w:ascii="Calibri" w:cs="Calibri" w:eastAsia="Calibri" w:hAnsi="Calibri"/>
          <w:b/>
          <w:bCs/>
          <w:sz w:val="21"/>
          <w:szCs w:val="21"/>
        </w:rPr>
        <w:t xml:space="preserve">Act</w:t>
      </w:r>
      <w:r>
        <w:rPr>
          <w:rFonts w:ascii="Calibri" w:cs="Calibri" w:eastAsia="Calibri" w:hAnsi="Calibri"/>
          <w:sz w:val="21"/>
          <w:szCs w:val="21"/>
        </w:rPr>
        <w:t xml:space="preserve">" means that Act and any subsidiary legislation. "</w:t>
      </w:r>
      <w:r>
        <w:rPr>
          <w:rFonts w:ascii="Calibri" w:cs="Calibri" w:eastAsia="Calibri" w:hAnsi="Calibri"/>
          <w:b/>
          <w:bCs/>
          <w:sz w:val="21"/>
          <w:szCs w:val="21"/>
        </w:rPr>
        <w:t xml:space="preserve">Commission</w:t>
      </w:r>
      <w:r>
        <w:rPr>
          <w:rFonts w:ascii="Calibri" w:cs="Calibri" w:eastAsia="Calibri" w:hAnsi="Calibri"/>
          <w:sz w:val="21"/>
          <w:szCs w:val="21"/>
        </w:rPr>
        <w:t xml:space="preserve">" means the Personal Data Protection Commission.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Processor processes Personal Data </w:t>
      </w:r>
      <w:r>
        <w:rPr>
          <w:rFonts w:ascii="Calibri" w:cs="Calibri" w:eastAsia="Calibri" w:hAnsi="Calibri"/>
          <w:b/>
          <w:bCs/>
          <w:sz w:val="21"/>
          <w:szCs w:val="21"/>
        </w:rPr>
        <w:t xml:space="preserve">on behalf of and for the purposes of</w:t>
      </w:r>
      <w:r>
        <w:rPr>
          <w:rFonts w:ascii="Calibri" w:cs="Calibri" w:eastAsia="Calibri" w:hAnsi="Calibri"/>
          <w:sz w:val="21"/>
          <w:szCs w:val="21"/>
        </w:rPr>
        <w:t xml:space="preserve"> the Organisation. The Organisation determines the purposes and means of processing.</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details of the processing are set out in Schedule 1.</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Where the Processor determines its own purposes for any Personal Data, it acts as an organisation in its own right for that processing and bears its own obligations under the Act.</w:t>
      </w:r>
    </w:p>
    <w:p>
      <w:pPr>
        <w:keepNext/>
        <w:spacing w:after="120" w:before="280"/>
        <w:outlineLvl w:val="0"/>
      </w:pPr>
      <w:r>
        <w:rPr>
          <w:rFonts w:ascii="Calibri" w:cs="Calibri" w:eastAsia="Calibri" w:hAnsi="Calibri"/>
          <w:b/>
          <w:bCs/>
          <w:color w:val="14161B"/>
          <w:sz w:val="22"/>
          <w:szCs w:val="22"/>
        </w:rPr>
        <w:t xml:space="preserve">2. PROCESSOR OBLIGATIONS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Processor shall process Personal Data </w:t>
      </w:r>
      <w:r>
        <w:rPr>
          <w:rFonts w:ascii="Calibri" w:cs="Calibri" w:eastAsia="Calibri" w:hAnsi="Calibri"/>
          <w:b/>
          <w:bCs/>
          <w:sz w:val="21"/>
          <w:szCs w:val="21"/>
        </w:rPr>
        <w:t xml:space="preserve">only on the documented instructions</w:t>
      </w:r>
      <w:r>
        <w:rPr>
          <w:rFonts w:ascii="Calibri" w:cs="Calibri" w:eastAsia="Calibri" w:hAnsi="Calibri"/>
          <w:sz w:val="21"/>
          <w:szCs w:val="21"/>
        </w:rPr>
        <w:t xml:space="preserve"> of the Organisation, and only for the purposes in Schedule 1.</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Processor shall </w:t>
      </w:r>
      <w:r>
        <w:rPr>
          <w:rFonts w:ascii="Calibri" w:cs="Calibri" w:eastAsia="Calibri" w:hAnsi="Calibri"/>
          <w:b/>
          <w:bCs/>
          <w:sz w:val="21"/>
          <w:szCs w:val="21"/>
        </w:rPr>
        <w:t xml:space="preserve">not</w:t>
      </w:r>
      <w:r>
        <w:rPr>
          <w:rFonts w:ascii="Calibri" w:cs="Calibri" w:eastAsia="Calibri" w:hAnsi="Calibri"/>
          <w:sz w:val="21"/>
          <w:szCs w:val="21"/>
        </w:rPr>
        <w:t xml:space="preserve"> use Personal Data for its own purposes, including to develop, train or improve its own products or models, or for analytics, benchmarking or marketing, without the Organisation’s prior written consent.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Processor shall not sell, licence or otherwise disclose Personal Data to any third party except as permitted by this Addendum or required by law. Where disclosure is required by law, the Processor shall notify the Organisation first unless prohibited from doing so.</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Processor shall make </w:t>
      </w:r>
      <w:r>
        <w:rPr>
          <w:rFonts w:ascii="Calibri" w:cs="Calibri" w:eastAsia="Calibri" w:hAnsi="Calibri"/>
          <w:b/>
          <w:bCs/>
          <w:sz w:val="21"/>
          <w:szCs w:val="21"/>
        </w:rPr>
        <w:t xml:space="preserve">reasonable security arrangements</w:t>
      </w:r>
      <w:r>
        <w:rPr>
          <w:rFonts w:ascii="Calibri" w:cs="Calibri" w:eastAsia="Calibri" w:hAnsi="Calibri"/>
          <w:sz w:val="21"/>
          <w:szCs w:val="21"/>
        </w:rPr>
        <w:t xml:space="preserve"> to protect Personal Data against unauthorised access, collection, use, disclosure, copying, modification, disposal or similar risks, at least to the standard in Schedule 2.</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Processor shall ensure that personnel with access to Personal Data are subject to confidentiality obligations, are trained, and have access only on a need-to-know basis.</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The Processor shall </w:t>
      </w:r>
      <w:r>
        <w:rPr>
          <w:rFonts w:ascii="Calibri" w:cs="Calibri" w:eastAsia="Calibri" w:hAnsi="Calibri"/>
          <w:b/>
          <w:bCs/>
          <w:sz w:val="21"/>
          <w:szCs w:val="21"/>
        </w:rPr>
        <w:t xml:space="preserve">not retain</w:t>
      </w:r>
      <w:r>
        <w:rPr>
          <w:rFonts w:ascii="Calibri" w:cs="Calibri" w:eastAsia="Calibri" w:hAnsi="Calibri"/>
          <w:sz w:val="21"/>
          <w:szCs w:val="21"/>
        </w:rPr>
        <w:t xml:space="preserve"> Personal Data for longer than necessary for the purposes, and shall comply with the retention periods in Schedule 1.</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sz w:val="21"/>
          <w:szCs w:val="21"/>
        </w:rPr>
        <w:t xml:space="preserve">The Processor shall assist the Organisation in meeting its obligations under the Act, including responding to access and correction requests, and shall not respond directly to an individual without the Organisation’s instruction.</w:t>
      </w:r>
    </w:p>
    <w:p>
      <w:pPr>
        <w:keepNext/>
        <w:spacing w:after="120" w:before="280"/>
        <w:outlineLvl w:val="0"/>
      </w:pPr>
      <w:r>
        <w:rPr>
          <w:rFonts w:ascii="Calibri" w:cs="Calibri" w:eastAsia="Calibri" w:hAnsi="Calibri"/>
          <w:b/>
          <w:bCs/>
          <w:color w:val="14161B"/>
          <w:sz w:val="22"/>
          <w:szCs w:val="22"/>
        </w:rPr>
        <w:t xml:space="preserve">3. DATA BREACH</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Processor shall notify the Organisation of any data breach affecting Personal Data </w:t>
      </w:r>
      <w:r>
        <w:rPr>
          <w:rFonts w:ascii="Calibri" w:cs="Calibri" w:eastAsia="Calibri" w:hAnsi="Calibri"/>
          <w:b/>
          <w:bCs/>
          <w:sz w:val="21"/>
          <w:szCs w:val="21"/>
        </w:rPr>
        <w:t xml:space="preserve">immediately, and in any event within </w:t>
      </w:r>
      <w:r>
        <w:rPr>
          <w:rFonts w:ascii="Calibri" w:cs="Calibri" w:eastAsia="Calibri" w:hAnsi="Calibri"/>
          <w:b/>
          <w:bCs/>
          <w:sz w:val="21"/>
          <w:szCs w:val="21"/>
        </w:rPr>
        <w:t xml:space="preserve">[24]</w:t>
      </w:r>
      <w:r>
        <w:rPr>
          <w:rFonts w:ascii="Calibri" w:cs="Calibri" w:eastAsia="Calibri" w:hAnsi="Calibri"/>
          <w:b/>
          <w:bCs/>
          <w:sz w:val="21"/>
          <w:szCs w:val="21"/>
        </w:rPr>
        <w:t xml:space="preserve"> hours</w:t>
      </w:r>
      <w:r>
        <w:rPr>
          <w:rFonts w:ascii="Calibri" w:cs="Calibri" w:eastAsia="Calibri" w:hAnsi="Calibri"/>
          <w:sz w:val="21"/>
          <w:szCs w:val="21"/>
        </w:rPr>
        <w:t xml:space="preserve"> of becoming aware of it, by email to </w:t>
      </w:r>
      <w:r>
        <w:rPr>
          <w:rFonts w:ascii="Calibri" w:cs="Calibri" w:eastAsia="Calibri" w:hAnsi="Calibri"/>
          <w:b/>
          <w:bCs/>
          <w:sz w:val="21"/>
          <w:szCs w:val="21"/>
        </w:rPr>
        <w:t xml:space="preserve">[EMAIL]</w:t>
      </w:r>
      <w:r>
        <w:rPr>
          <w:rFonts w:ascii="Calibri" w:cs="Calibri" w:eastAsia="Calibri" w:hAnsi="Calibri"/>
          <w:sz w:val="21"/>
          <w:szCs w:val="21"/>
        </w:rPr>
        <w:t xml:space="preserve"> and telephone to </w:t>
      </w:r>
      <w:r>
        <w:rPr>
          <w:rFonts w:ascii="Calibri" w:cs="Calibri" w:eastAsia="Calibri" w:hAnsi="Calibri"/>
          <w:b/>
          <w:bCs/>
          <w:sz w:val="21"/>
          <w:szCs w:val="21"/>
        </w:rPr>
        <w:t xml:space="preserve">[PHONE]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notification shall include, so far as known: what happened; when it occurred and when it was discovered; the categories and volume of Personal Data affected; the number of individuals affected; the steps taken to contain it; and the Processor’s assessment of the likely consequences.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Processor shall continue to provide information as the position develops, without waiting to be asked.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Processor shall co-operate fully with the Organisation’s assessment, containment and remediation, shall preserve logs and evidence, and shall not destroy or alter any record relevant to the breach.</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b/>
          <w:bCs/>
          <w:sz w:val="21"/>
          <w:szCs w:val="21"/>
        </w:rPr>
        <w:t xml:space="preserve">The Processor shall not notify the Commission or any affected individual</w:t>
      </w:r>
      <w:r>
        <w:rPr>
          <w:rFonts w:ascii="Calibri" w:cs="Calibri" w:eastAsia="Calibri" w:hAnsi="Calibri"/>
          <w:sz w:val="21"/>
          <w:szCs w:val="21"/>
        </w:rPr>
        <w:t xml:space="preserve"> in respect of the Organisation’s Personal Data without the Organisation’s prior written agreement, save where the Processor is separately required by law to do so.</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Processor shall bear its own costs of containment and remediation, and shall </w:t>
      </w:r>
      <w:r>
        <w:rPr>
          <w:rFonts w:ascii="Calibri" w:cs="Calibri" w:eastAsia="Calibri" w:hAnsi="Calibri"/>
          <w:b/>
          <w:bCs/>
          <w:sz w:val="21"/>
          <w:szCs w:val="21"/>
        </w:rPr>
        <w:t xml:space="preserve">[indemnify the Organisation for / contribute to]</w:t>
      </w:r>
      <w:r>
        <w:rPr>
          <w:rFonts w:ascii="Calibri" w:cs="Calibri" w:eastAsia="Calibri" w:hAnsi="Calibri"/>
          <w:sz w:val="21"/>
          <w:szCs w:val="21"/>
        </w:rPr>
        <w:t xml:space="preserve"> costs reasonably incurred by the Organisation arising from a breach caused by the Processor’s failure to comply with this Addendum.</w:t>
      </w:r>
    </w:p>
    <w:p>
      <w:pPr>
        <w:keepNext/>
        <w:spacing w:after="120" w:before="280"/>
        <w:outlineLvl w:val="0"/>
      </w:pPr>
      <w:r>
        <w:rPr>
          <w:rFonts w:ascii="Calibri" w:cs="Calibri" w:eastAsia="Calibri" w:hAnsi="Calibri"/>
          <w:b/>
          <w:bCs/>
          <w:color w:val="14161B"/>
          <w:sz w:val="22"/>
          <w:szCs w:val="22"/>
        </w:rPr>
        <w:t xml:space="preserve">4. SUB-PROCESSORS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Processor shall not engage a sub-processor without the Organisation’s </w:t>
      </w:r>
      <w:r>
        <w:rPr>
          <w:rFonts w:ascii="Calibri" w:cs="Calibri" w:eastAsia="Calibri" w:hAnsi="Calibri"/>
          <w:b/>
          <w:bCs/>
          <w:sz w:val="21"/>
          <w:szCs w:val="21"/>
        </w:rPr>
        <w:t xml:space="preserve">prior written consent</w:t>
      </w:r>
      <w:r>
        <w:rPr>
          <w:rFonts w:ascii="Calibri" w:cs="Calibri" w:eastAsia="Calibri" w:hAnsi="Calibri"/>
          <w:sz w:val="21"/>
          <w:szCs w:val="21"/>
        </w:rPr>
        <w:t xml:space="preserve">. Sub-processors approved as at the date of this Addendum are listed in Schedule 3.</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Processor shall give the Organisation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notice of any intended change to sub-processors, and the Organisation may object on reasonable grounds. Where an objection cannot be resolved, the Organisation may terminate the affected services without penalty.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Processor shall impose on each sub-processor obligations no less protective than those in this Addendum, and </w:t>
      </w:r>
      <w:r>
        <w:rPr>
          <w:rFonts w:ascii="Calibri" w:cs="Calibri" w:eastAsia="Calibri" w:hAnsi="Calibri"/>
          <w:b/>
          <w:bCs/>
          <w:sz w:val="21"/>
          <w:szCs w:val="21"/>
        </w:rPr>
        <w:t xml:space="preserve">remains fully liable</w:t>
      </w:r>
      <w:r>
        <w:rPr>
          <w:rFonts w:ascii="Calibri" w:cs="Calibri" w:eastAsia="Calibri" w:hAnsi="Calibri"/>
          <w:sz w:val="21"/>
          <w:szCs w:val="21"/>
        </w:rPr>
        <w:t xml:space="preserve"> to the Organisation for the acts and omissions of its sub-processors.</w:t>
      </w:r>
    </w:p>
    <w:p>
      <w:pPr>
        <w:keepNext/>
        <w:spacing w:after="120" w:before="280"/>
        <w:outlineLvl w:val="0"/>
      </w:pPr>
      <w:r>
        <w:rPr>
          <w:rFonts w:ascii="Calibri" w:cs="Calibri" w:eastAsia="Calibri" w:hAnsi="Calibri"/>
          <w:b/>
          <w:bCs/>
          <w:color w:val="14161B"/>
          <w:sz w:val="22"/>
          <w:szCs w:val="22"/>
        </w:rPr>
        <w:t xml:space="preserve">5. TRANSFERS OUTSIDE SINGAPORE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Processor shall not transfer Personal Data outside Singapore except to the locations listed in Schedule 1, and shall notify the Organisation before any change.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Where Personal Data is transferred outside Singapore, the Processor shall ensure the recipient is </w:t>
      </w:r>
      <w:r>
        <w:rPr>
          <w:rFonts w:ascii="Calibri" w:cs="Calibri" w:eastAsia="Calibri" w:hAnsi="Calibri"/>
          <w:b/>
          <w:bCs/>
          <w:sz w:val="21"/>
          <w:szCs w:val="21"/>
        </w:rPr>
        <w:t xml:space="preserve">legally bound to provide a standard of protection comparable</w:t>
      </w:r>
      <w:r>
        <w:rPr>
          <w:rFonts w:ascii="Calibri" w:cs="Calibri" w:eastAsia="Calibri" w:hAnsi="Calibri"/>
          <w:sz w:val="21"/>
          <w:szCs w:val="21"/>
        </w:rPr>
        <w:t xml:space="preserve"> to that under the Act, whether by contract, binding corporate rules or a recognised certification, and shall provide evidence on request.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Processor shall notify the Organisation of any legal requirement in a recipient jurisdiction that would compel disclosure of Personal Data, so far as permitted.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AUDIT AND ASSURANCE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Processor shall, on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notice and not more than </w:t>
      </w:r>
      <w:r>
        <w:rPr>
          <w:rFonts w:ascii="Calibri" w:cs="Calibri" w:eastAsia="Calibri" w:hAnsi="Calibri"/>
          <w:b/>
          <w:bCs/>
          <w:sz w:val="21"/>
          <w:szCs w:val="21"/>
        </w:rPr>
        <w:t xml:space="preserve">[once]</w:t>
      </w:r>
      <w:r>
        <w:rPr>
          <w:rFonts w:ascii="Calibri" w:cs="Calibri" w:eastAsia="Calibri" w:hAnsi="Calibri"/>
          <w:sz w:val="21"/>
          <w:szCs w:val="21"/>
        </w:rPr>
        <w:t xml:space="preserve"> in any twelve-month period save following a breach, permit the Organisation or its appointed auditor to audit compliance with this Addendum.</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Processor shall provide, on request, its current independent security certification or audit report, and shall promptly answer reasonable security questionnaires.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Processor shall notify the Organisation of any material adverse finding in an audit or certification affecting the services.</w:t>
      </w:r>
    </w:p>
    <w:p>
      <w:pPr>
        <w:keepNext/>
        <w:spacing w:after="120" w:before="280"/>
        <w:outlineLvl w:val="0"/>
      </w:pPr>
      <w:r>
        <w:rPr>
          <w:rFonts w:ascii="Calibri" w:cs="Calibri" w:eastAsia="Calibri" w:hAnsi="Calibri"/>
          <w:b/>
          <w:bCs/>
          <w:color w:val="14161B"/>
          <w:sz w:val="22"/>
          <w:szCs w:val="22"/>
        </w:rPr>
        <w:t xml:space="preserve">7. RETURN AND DELETION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On termination or expiry, or earlier on request, the Processor shall at the Organisation’s option </w:t>
      </w:r>
      <w:r>
        <w:rPr>
          <w:rFonts w:ascii="Calibri" w:cs="Calibri" w:eastAsia="Calibri" w:hAnsi="Calibri"/>
          <w:b/>
          <w:bCs/>
          <w:sz w:val="21"/>
          <w:szCs w:val="21"/>
        </w:rPr>
        <w:t xml:space="preserve">return</w:t>
      </w:r>
      <w:r>
        <w:rPr>
          <w:rFonts w:ascii="Calibri" w:cs="Calibri" w:eastAsia="Calibri" w:hAnsi="Calibri"/>
          <w:sz w:val="21"/>
          <w:szCs w:val="21"/>
        </w:rPr>
        <w:t xml:space="preserve"> the Personal Data in a commonly used format, or </w:t>
      </w:r>
      <w:r>
        <w:rPr>
          <w:rFonts w:ascii="Calibri" w:cs="Calibri" w:eastAsia="Calibri" w:hAnsi="Calibri"/>
          <w:b/>
          <w:bCs/>
          <w:sz w:val="21"/>
          <w:szCs w:val="21"/>
        </w:rPr>
        <w:t xml:space="preserve">securely delete</w:t>
      </w:r>
      <w:r>
        <w:rPr>
          <w:rFonts w:ascii="Calibri" w:cs="Calibri" w:eastAsia="Calibri" w:hAnsi="Calibri"/>
          <w:sz w:val="21"/>
          <w:szCs w:val="21"/>
        </w:rPr>
        <w:t xml:space="preserve"> it.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Deletion extends to </w:t>
      </w:r>
      <w:r>
        <w:rPr>
          <w:rFonts w:ascii="Calibri" w:cs="Calibri" w:eastAsia="Calibri" w:hAnsi="Calibri"/>
          <w:b/>
          <w:bCs/>
          <w:sz w:val="21"/>
          <w:szCs w:val="21"/>
        </w:rPr>
        <w:t xml:space="preserve">backups, archives, logs and any copies held by sub-processors</w:t>
      </w:r>
      <w:r>
        <w:rPr>
          <w:rFonts w:ascii="Calibri" w:cs="Calibri" w:eastAsia="Calibri" w:hAnsi="Calibri"/>
          <w:sz w:val="21"/>
          <w:szCs w:val="21"/>
        </w:rPr>
        <w:t xml:space="preserve">. Where technical constraints prevent immediate deletion from backups, the Processor shall confirm the timeframe and shall keep the data isolated and protected until deleted.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Processor shall provide </w:t>
      </w:r>
      <w:r>
        <w:rPr>
          <w:rFonts w:ascii="Calibri" w:cs="Calibri" w:eastAsia="Calibri" w:hAnsi="Calibri"/>
          <w:b/>
          <w:bCs/>
          <w:sz w:val="21"/>
          <w:szCs w:val="21"/>
        </w:rPr>
        <w:t xml:space="preserve">written confirmation</w:t>
      </w:r>
      <w:r>
        <w:rPr>
          <w:rFonts w:ascii="Calibri" w:cs="Calibri" w:eastAsia="Calibri" w:hAnsi="Calibri"/>
          <w:sz w:val="21"/>
          <w:szCs w:val="21"/>
        </w:rPr>
        <w:t xml:space="preserve"> of return or deletion within </w:t>
      </w:r>
      <w:r>
        <w:rPr>
          <w:rFonts w:ascii="Calibri" w:cs="Calibri" w:eastAsia="Calibri" w:hAnsi="Calibri"/>
          <w:b/>
          <w:bCs/>
          <w:sz w:val="21"/>
          <w:szCs w:val="21"/>
        </w:rPr>
        <w:t xml:space="preserve">[30]</w:t>
      </w:r>
      <w:r>
        <w:rPr>
          <w:rFonts w:ascii="Calibri" w:cs="Calibri" w:eastAsia="Calibri" w:hAnsi="Calibri"/>
          <w:b/>
          <w:bCs/>
          <w:sz w:val="21"/>
          <w:szCs w:val="21"/>
        </w:rPr>
        <w:t xml:space="preserve"> days</w:t>
      </w:r>
      <w:r>
        <w:rPr>
          <w:rFonts w:ascii="Calibri" w:cs="Calibri" w:eastAsia="Calibri" w:hAnsi="Calibri"/>
          <w:sz w:val="21"/>
          <w:szCs w:val="21"/>
        </w:rPr>
        <w:t xml:space="preserve">, identifying what was deleted and from where.</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Where the Processor is required by law to retain any Personal Data, it shall notify the Organisation, retain only what is required, and continue to protect it.</w:t>
      </w:r>
    </w:p>
    <w:p>
      <w:pPr>
        <w:keepNext/>
        <w:spacing w:after="120" w:before="280"/>
        <w:outlineLvl w:val="0"/>
      </w:pPr>
      <w:r>
        <w:rPr>
          <w:rFonts w:ascii="Calibri" w:cs="Calibri" w:eastAsia="Calibri" w:hAnsi="Calibri"/>
          <w:b/>
          <w:bCs/>
          <w:color w:val="14161B"/>
          <w:sz w:val="22"/>
          <w:szCs w:val="22"/>
        </w:rPr>
        <w:t xml:space="preserve">8. LIABILITY AND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Processor shall indemnify the Organisation against losses, fines and reasonable costs arising from the Processor’s breach of this Addendum. </w:t>
      </w:r>
      <w:r>
        <w:rPr>
          <w:rFonts w:ascii="Calibri" w:cs="Calibri" w:eastAsia="Calibri" w:hAnsi="Calibri"/>
          <w:i/>
          <w:iCs/>
          <w:sz w:val="21"/>
          <w:szCs w:val="21"/>
        </w:rPr>
        <w:t xml:space="preserve">(Whether this indemnity sits inside or outside the liability cap in the main agreement is a commercial decision — specify. A cap that swallows the indemnity leaves the Organisation carrying regulatory exposure it cannot control.)</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This Addendum survives termination of the agreement for so long as the Processor holds Personal Data.</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This Addendum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[VENDOR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Details of Processing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Subject matter of the processing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THE SERVICE]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Purposes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[SPECIFIC PURPOSES — not "provision of the services"]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 OF THE AGREEMENT AND ANY WIND-DOWN 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of individual</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[Customers / Employees / Applicants / End users]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Categories of Personal Data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contact details, identification number, financial details, health data, location data, usage data — be specific]</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Sensitive categories, if 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[Identification numbers, financial account details, health information — flag these; they drive breach consequences]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Volume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[APPROXIMATE NUMBER OF INDIVIDUALS AND RECORDS]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Processing operations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[Storage, hosting, transmission, analysis, support access, backup, deletion]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Locations of processing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[COUNTRIES AND DATA CENTRE REGIONS]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Transfers outside Singapore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[LOCATIONS AND THE PROTECTION RELIED 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Retention period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 AND TRIGGER FOR DELETION]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Organisation contact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Processor contact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notification contacts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[EMAIL]</w:t>
            </w:r>
            <w:r>
              <w:rPr>
                <w:rFonts w:ascii="Calibri" w:cs="Calibri" w:eastAsia="Calibri" w:hAnsi="Calibri"/>
                <w:sz w:val="18"/>
                <w:szCs w:val="18"/>
              </w:rPr>
              <w:t xml:space="preserve"> and </w:t>
            </w:r>
            <w:r>
              <w:rPr>
                <w:rFonts w:ascii="Calibri" w:cs="Calibri" w:eastAsia="Calibri" w:hAnsi="Calibri"/>
                <w:b/>
                <w:bCs/>
                <w:sz w:val="18"/>
                <w:szCs w:val="18"/>
              </w:rPr>
              <w:t xml:space="preserve">[PHONE]</w:t>
            </w:r>
            <w:r>
              <w:rPr>
                <w:rFonts w:ascii="Calibri" w:cs="Calibri" w:eastAsia="Calibri" w:hAnsi="Calibri"/>
                <w:sz w:val="18"/>
                <w:szCs w:val="18"/>
              </w:rPr>
              <w:t xml:space="preserve"> — monitored </w:t>
            </w:r>
            <w:r>
              <w:rPr>
                <w:rFonts w:ascii="Calibri" w:cs="Calibri" w:eastAsia="Calibri" w:hAnsi="Calibri"/>
                <w:b/>
                <w:bCs/>
                <w:sz w:val="18"/>
                <w:szCs w:val="18"/>
              </w:rPr>
              <w:t xml:space="preserve">[24/7 or business hours]</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Minimum Security Measures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3857"/>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Measure</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Processor position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 of Personal Data in transit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Encryption of Personal Data at rest</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control on a need-to-know basis, reviewed periodically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Multi-factor authentication for administrative and remote access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Logging of access to Personal Data, retained for </w:t>
            </w:r>
            <w:r>
              <w:rPr>
                <w:rFonts w:ascii="Calibri" w:cs="Calibri" w:eastAsia="Calibri" w:hAnsi="Calibri"/>
                <w:b/>
                <w:bCs/>
                <w:sz w:val="18"/>
                <w:szCs w:val="18"/>
              </w:rPr>
              <w:t xml:space="preserve">[PERIOD]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Segregation of the Organisation’s data from other customers’ data</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Vulnerability management and patching within </w:t>
            </w:r>
            <w:r>
              <w:rPr>
                <w:rFonts w:ascii="Calibri" w:cs="Calibri" w:eastAsia="Calibri" w:hAnsi="Calibri"/>
                <w:b/>
                <w:bCs/>
                <w:sz w:val="18"/>
                <w:szCs w:val="18"/>
              </w:rPr>
              <w:t xml:space="preserve">[PERIOD]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Penetration testing at least </w:t>
            </w:r>
            <w:r>
              <w:rPr>
                <w:rFonts w:ascii="Calibri" w:cs="Calibri" w:eastAsia="Calibri" w:hAnsi="Calibri"/>
                <w:b/>
                <w:bCs/>
                <w:sz w:val="18"/>
                <w:szCs w:val="18"/>
              </w:rPr>
              <w:t xml:space="preserve">[annually]</w:t>
            </w:r>
            <w:r>
              <w:rPr>
                <w:rFonts w:ascii="Calibri" w:cs="Calibri" w:eastAsia="Calibri" w:hAnsi="Calibri"/>
                <w:sz w:val="18"/>
                <w:szCs w:val="18"/>
              </w:rPr>
              <w:t xml:space="preserve">, with findings remediated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Backup, tested restoration, and documented recovery objectives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Personnel screening and confidentiality obligations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Security awareness training at induction and annually</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Documented incident response process with defined timelines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Secure disposal of media and records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Independent certification held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Approved Sub-Processors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120"/>
        <w:gridCol w:w="2409"/>
        <w:gridCol w:w="1349"/>
        <w:gridCol w:w="2120"/>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 provided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Personal Data accessed</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Approved 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[COUNTRY]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[CATEGORIES]</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obligation stays with you</w:t>
      </w:r>
    </w:p>
    <w:p>
      <w:pPr>
        <w:spacing w:after="60" w:line="264"/>
        <w:jc w:val="both"/>
      </w:pPr>
      <w:r>
        <w:rPr>
          <w:rFonts w:ascii="Calibri" w:cs="Calibri" w:eastAsia="Calibri" w:hAnsi="Calibri"/>
          <w:sz w:val="19"/>
          <w:szCs w:val="19"/>
        </w:rPr>
        <w:t xml:space="preserve">Engaging a processor does not transfer responsibility under the Act. The Organisation remains accountable for the data, must assess and notify a breach at the vendor, and answers to the Commission for it. This addendum does not shift the obligation — it gives you the information and control needed to discharge it.</w:t>
      </w:r>
    </w:p>
    <w:p>
      <w:pPr>
        <w:keepNext/>
        <w:spacing w:after="40" w:before="140"/>
      </w:pPr>
      <w:r>
        <w:rPr>
          <w:rFonts w:ascii="Calibri" w:cs="Calibri" w:eastAsia="Calibri" w:hAnsi="Calibri"/>
          <w:b/>
          <w:bCs/>
          <w:color w:val="14161B"/>
          <w:sz w:val="20"/>
          <w:szCs w:val="20"/>
        </w:rPr>
        <w:t xml:space="preserve">Twenty-four hours is the clause that matters most</w:t>
      </w:r>
    </w:p>
    <w:p>
      <w:pPr>
        <w:spacing w:after="60" w:line="264"/>
        <w:jc w:val="both"/>
      </w:pPr>
      <w:r>
        <w:rPr>
          <w:rFonts w:ascii="Calibri" w:cs="Calibri" w:eastAsia="Calibri" w:hAnsi="Calibri"/>
          <w:sz w:val="19"/>
          <w:szCs w:val="19"/>
        </w:rPr>
        <w:t xml:space="preserve">Your own notification clock runs from determination, and you cannot determine anything you have not been told about. A vendor contract permitting notification "without undue delay" or "within a reasonable period" makes your own deadline unachievable. Clause 3.1 fixes a number and a named contact, and this is the single most important negotiation point in the document.</w:t>
      </w:r>
    </w:p>
    <w:p>
      <w:pPr>
        <w:keepNext/>
        <w:spacing w:after="40" w:before="140"/>
      </w:pPr>
      <w:r>
        <w:rPr>
          <w:rFonts w:ascii="Calibri" w:cs="Calibri" w:eastAsia="Calibri" w:hAnsi="Calibri"/>
          <w:b/>
          <w:bCs/>
          <w:color w:val="14161B"/>
          <w:sz w:val="20"/>
          <w:szCs w:val="20"/>
        </w:rPr>
        <w:t xml:space="preserve">Stop the vendor notifying the Commission on your behalf</w:t>
      </w:r>
    </w:p>
    <w:p>
      <w:pPr>
        <w:spacing w:after="60" w:line="264"/>
        <w:jc w:val="both"/>
      </w:pPr>
      <w:r>
        <w:rPr>
          <w:rFonts w:ascii="Calibri" w:cs="Calibri" w:eastAsia="Calibri" w:hAnsi="Calibri"/>
          <w:sz w:val="19"/>
          <w:szCs w:val="19"/>
        </w:rPr>
        <w:t xml:space="preserve">Clause 3.5 exists because a vendor notifying the regulator about your data, in its own terms, removes your control over an assessment you are accountable for. The vendor may have its own separate legal obligations; it should not discharge yours.</w:t>
      </w:r>
    </w:p>
    <w:p>
      <w:pPr>
        <w:keepNext/>
        <w:spacing w:after="40" w:before="140"/>
      </w:pPr>
      <w:r>
        <w:rPr>
          <w:rFonts w:ascii="Calibri" w:cs="Calibri" w:eastAsia="Calibri" w:hAnsi="Calibri"/>
          <w:b/>
          <w:bCs/>
          <w:color w:val="14161B"/>
          <w:sz w:val="20"/>
          <w:szCs w:val="20"/>
        </w:rPr>
        <w:t xml:space="preserve">Prohibit use for the vendor’s own purposes</w:t>
      </w:r>
    </w:p>
    <w:p>
      <w:pPr>
        <w:spacing w:after="60" w:line="264"/>
        <w:jc w:val="both"/>
      </w:pPr>
      <w:r>
        <w:rPr>
          <w:rFonts w:ascii="Calibri" w:cs="Calibri" w:eastAsia="Calibri" w:hAnsi="Calibri"/>
          <w:sz w:val="19"/>
          <w:szCs w:val="19"/>
        </w:rPr>
        <w:t xml:space="preserve">Clause 2.2 addresses the issue that has become most contentious — vendors using customer data to train models, benchmark, or improve their own products. Standard vendor terms increasingly permit this in language that is easy to miss. If it is not expressly prohibited, assume it is happening.</w:t>
      </w:r>
    </w:p>
    <w:p>
      <w:pPr>
        <w:keepNext/>
        <w:spacing w:after="40" w:before="140"/>
      </w:pPr>
      <w:r>
        <w:rPr>
          <w:rFonts w:ascii="Calibri" w:cs="Calibri" w:eastAsia="Calibri" w:hAnsi="Calibri"/>
          <w:b/>
          <w:bCs/>
          <w:color w:val="14161B"/>
          <w:sz w:val="20"/>
          <w:szCs w:val="20"/>
        </w:rPr>
        <w:t xml:space="preserve">Watch for the vendor becoming an organisation in its own right</w:t>
      </w:r>
    </w:p>
    <w:p>
      <w:pPr>
        <w:spacing w:after="60" w:line="264"/>
        <w:jc w:val="both"/>
      </w:pPr>
      <w:r>
        <w:rPr>
          <w:rFonts w:ascii="Calibri" w:cs="Calibri" w:eastAsia="Calibri" w:hAnsi="Calibri"/>
          <w:sz w:val="19"/>
          <w:szCs w:val="19"/>
        </w:rPr>
        <w:t xml:space="preserve">Where a vendor determines its own purposes for data, it is no longer merely processing on your behalf and has its own obligations — but that does not help you if you did not authorise the use. Clause 1.4 acknowledges the position without conceding the entitlement.</w:t>
      </w:r>
    </w:p>
    <w:p>
      <w:pPr>
        <w:keepNext/>
        <w:spacing w:after="40" w:before="140"/>
      </w:pPr>
      <w:r>
        <w:rPr>
          <w:rFonts w:ascii="Calibri" w:cs="Calibri" w:eastAsia="Calibri" w:hAnsi="Calibri"/>
          <w:b/>
          <w:bCs/>
          <w:color w:val="14161B"/>
          <w:sz w:val="20"/>
          <w:szCs w:val="20"/>
        </w:rPr>
        <w:t xml:space="preserve">Sub-processors are where the data actually goes</w:t>
      </w:r>
    </w:p>
    <w:p>
      <w:pPr>
        <w:spacing w:after="60" w:line="264"/>
        <w:jc w:val="both"/>
      </w:pPr>
      <w:r>
        <w:rPr>
          <w:rFonts w:ascii="Calibri" w:cs="Calibri" w:eastAsia="Calibri" w:hAnsi="Calibri"/>
          <w:sz w:val="19"/>
          <w:szCs w:val="19"/>
        </w:rPr>
        <w:t xml:space="preserve">Most vendors rely on cloud hosts, support providers, analytics tools and offshore teams. The Schedule 3 list is frequently the first time an organisation discovers how many parties touch its data. Require the list, require notice of changes, and keep the vendor liable for all of them.</w:t>
      </w:r>
    </w:p>
    <w:p>
      <w:pPr>
        <w:keepNext/>
        <w:spacing w:after="40" w:before="140"/>
      </w:pPr>
      <w:r>
        <w:rPr>
          <w:rFonts w:ascii="Calibri" w:cs="Calibri" w:eastAsia="Calibri" w:hAnsi="Calibri"/>
          <w:b/>
          <w:bCs/>
          <w:color w:val="14161B"/>
          <w:sz w:val="20"/>
          <w:szCs w:val="20"/>
        </w:rPr>
        <w:t xml:space="preserve">Overseas transfer needs a comparable standard</w:t>
      </w:r>
    </w:p>
    <w:p>
      <w:pPr>
        <w:spacing w:after="60" w:line="264"/>
        <w:jc w:val="both"/>
      </w:pPr>
      <w:r>
        <w:rPr>
          <w:rFonts w:ascii="Calibri" w:cs="Calibri" w:eastAsia="Calibri" w:hAnsi="Calibri"/>
          <w:sz w:val="19"/>
          <w:szCs w:val="19"/>
        </w:rPr>
        <w:t xml:space="preserve">Data may only be transferred outside Singapore where the recipient is legally bound to a comparable standard of protection. For a cloud service hosted elsewhere this must be documented rather than assumed, and evidence should be obtainable on request — Clause 5.2 requires it.</w:t>
      </w:r>
    </w:p>
    <w:p>
      <w:pPr>
        <w:keepNext/>
        <w:spacing w:after="40" w:before="140"/>
      </w:pPr>
      <w:r>
        <w:rPr>
          <w:rFonts w:ascii="Calibri" w:cs="Calibri" w:eastAsia="Calibri" w:hAnsi="Calibri"/>
          <w:b/>
          <w:bCs/>
          <w:color w:val="14161B"/>
          <w:sz w:val="20"/>
          <w:szCs w:val="20"/>
        </w:rPr>
        <w:t xml:space="preserve">Deletion must follow the data</w:t>
      </w:r>
    </w:p>
    <w:p>
      <w:pPr>
        <w:spacing w:after="60" w:line="264"/>
        <w:jc w:val="both"/>
      </w:pPr>
      <w:r>
        <w:rPr>
          <w:rFonts w:ascii="Calibri" w:cs="Calibri" w:eastAsia="Calibri" w:hAnsi="Calibri"/>
          <w:sz w:val="19"/>
          <w:szCs w:val="19"/>
        </w:rPr>
        <w:t xml:space="preserve">Clause 7.2 extends deletion to backups, archives, logs and sub-processor copies. Deletion from the live production system is what most vendors mean and it is not deletion. Require written confirmation identifying what was deleted from where, and accept a realistic backup timeframe rather than a fictional immediate one.</w:t>
      </w:r>
    </w:p>
    <w:p>
      <w:pPr>
        <w:keepNext/>
        <w:spacing w:after="40" w:before="140"/>
      </w:pPr>
      <w:r>
        <w:rPr>
          <w:rFonts w:ascii="Calibri" w:cs="Calibri" w:eastAsia="Calibri" w:hAnsi="Calibri"/>
          <w:b/>
          <w:bCs/>
          <w:color w:val="14161B"/>
          <w:sz w:val="20"/>
          <w:szCs w:val="20"/>
        </w:rPr>
        <w:t xml:space="preserve">Get the exit right before you sign</w:t>
      </w:r>
    </w:p>
    <w:p>
      <w:pPr>
        <w:spacing w:after="60" w:line="264"/>
        <w:jc w:val="both"/>
      </w:pPr>
      <w:r>
        <w:rPr>
          <w:rFonts w:ascii="Calibri" w:cs="Calibri" w:eastAsia="Calibri" w:hAnsi="Calibri"/>
          <w:sz w:val="19"/>
          <w:szCs w:val="19"/>
        </w:rPr>
        <w:t xml:space="preserve">Return of data in a commonly used format matters enormously at termination and is very difficult to negotiate once the relationship has soured. Agree the format, the timeframe and any cost at the outset.</w:t>
      </w:r>
    </w:p>
    <w:p>
      <w:pPr>
        <w:keepNext/>
        <w:spacing w:after="40" w:before="140"/>
      </w:pPr>
      <w:r>
        <w:rPr>
          <w:rFonts w:ascii="Calibri" w:cs="Calibri" w:eastAsia="Calibri" w:hAnsi="Calibri"/>
          <w:b/>
          <w:bCs/>
          <w:color w:val="14161B"/>
          <w:sz w:val="20"/>
          <w:szCs w:val="20"/>
        </w:rPr>
        <w:t xml:space="preserve">Do not let the liability cap swallow the indemnity</w:t>
      </w:r>
    </w:p>
    <w:p>
      <w:pPr>
        <w:spacing w:after="60" w:line="264"/>
        <w:jc w:val="both"/>
      </w:pPr>
      <w:r>
        <w:rPr>
          <w:rFonts w:ascii="Calibri" w:cs="Calibri" w:eastAsia="Calibri" w:hAnsi="Calibri"/>
          <w:sz w:val="19"/>
          <w:szCs w:val="19"/>
        </w:rPr>
        <w:t xml:space="preserve">Clause 8.1 flags this deliberately. A data protection indemnity subject to a cap of one month’s fees is not protection — the regulatory exposure and remediation cost of a significant breach will exceed it many times over. Whether the indemnity sits inside or outside the cap is one of the two or three points genuinely worth negotiating hard.</w:t>
      </w:r>
    </w:p>
    <w:p>
      <w:pPr>
        <w:keepNext/>
        <w:spacing w:after="40" w:before="140"/>
      </w:pPr>
      <w:r>
        <w:rPr>
          <w:rFonts w:ascii="Calibri" w:cs="Calibri" w:eastAsia="Calibri" w:hAnsi="Calibri"/>
          <w:b/>
          <w:bCs/>
          <w:color w:val="14161B"/>
          <w:sz w:val="20"/>
          <w:szCs w:val="20"/>
        </w:rPr>
        <w:t xml:space="preserve">Complete Schedule 1 specifically</w:t>
      </w:r>
    </w:p>
    <w:p>
      <w:pPr>
        <w:spacing w:after="60" w:line="264"/>
        <w:jc w:val="both"/>
      </w:pPr>
      <w:r>
        <w:rPr>
          <w:rFonts w:ascii="Calibri" w:cs="Calibri" w:eastAsia="Calibri" w:hAnsi="Calibri"/>
          <w:sz w:val="19"/>
          <w:szCs w:val="19"/>
        </w:rPr>
        <w:t xml:space="preserve">A schedule stating the purpose as "provision of the services" and the data as "customer data" documents nothing and provides no basis for assessing a breach when one occurs. Specificity here is what makes the rest of the addendum operable.</w:t>
      </w:r>
    </w:p>
    <w:p>
      <w:pPr>
        <w:keepNext/>
        <w:spacing w:after="40" w:before="140"/>
      </w:pPr>
      <w:r>
        <w:rPr>
          <w:rFonts w:ascii="Calibri" w:cs="Calibri" w:eastAsia="Calibri" w:hAnsi="Calibri"/>
          <w:b/>
          <w:bCs/>
          <w:color w:val="14161B"/>
          <w:sz w:val="20"/>
          <w:szCs w:val="20"/>
        </w:rPr>
        <w:t xml:space="preserve">Flag the sensitive categories</w:t>
      </w:r>
    </w:p>
    <w:p>
      <w:pPr>
        <w:spacing w:after="60" w:line="264"/>
        <w:jc w:val="both"/>
      </w:pPr>
      <w:r>
        <w:rPr>
          <w:rFonts w:ascii="Calibri" w:cs="Calibri" w:eastAsia="Calibri" w:hAnsi="Calibri"/>
          <w:sz w:val="19"/>
          <w:szCs w:val="19"/>
        </w:rPr>
        <w:t xml:space="preserve">Identification numbers, financial account details and health information drive breach notifiability because their disclosure is prescribed as likely to result in significant harm. Knowing in advance which vendors hold them tells you which relationships carry real risk.</w:t>
      </w:r>
    </w:p>
    <w:p>
      <w:pPr>
        <w:keepNext/>
        <w:spacing w:after="40" w:before="140"/>
      </w:pPr>
      <w:r>
        <w:rPr>
          <w:rFonts w:ascii="Calibri" w:cs="Calibri" w:eastAsia="Calibri" w:hAnsi="Calibri"/>
          <w:b/>
          <w:bCs/>
          <w:color w:val="14161B"/>
          <w:sz w:val="20"/>
          <w:szCs w:val="20"/>
        </w:rPr>
        <w:t xml:space="preserve">Audit rights are useful mainly as leverage</w:t>
      </w:r>
    </w:p>
    <w:p>
      <w:pPr>
        <w:spacing w:after="60" w:line="264"/>
        <w:jc w:val="both"/>
      </w:pPr>
      <w:r>
        <w:rPr>
          <w:rFonts w:ascii="Calibri" w:cs="Calibri" w:eastAsia="Calibri" w:hAnsi="Calibri"/>
          <w:sz w:val="19"/>
          <w:szCs w:val="19"/>
        </w:rPr>
        <w:t xml:space="preserve">Most organisations will never exercise an audit right, and most vendors know it. The practical value is in Clause 6.2 — the right to current certifications, audit reports and answers to questionnaires, which is what you will actually use.</w:t>
      </w:r>
    </w:p>
    <w:p>
      <w:pPr>
        <w:keepNext/>
        <w:spacing w:after="40" w:before="140"/>
      </w:pPr>
      <w:r>
        <w:rPr>
          <w:rFonts w:ascii="Calibri" w:cs="Calibri" w:eastAsia="Calibri" w:hAnsi="Calibri"/>
          <w:b/>
          <w:bCs/>
          <w:color w:val="14161B"/>
          <w:sz w:val="20"/>
          <w:szCs w:val="20"/>
        </w:rPr>
        <w:t xml:space="preserve">Review the vendor register annually</w:t>
      </w:r>
    </w:p>
    <w:p>
      <w:pPr>
        <w:spacing w:after="60" w:line="264"/>
        <w:jc w:val="both"/>
      </w:pPr>
      <w:r>
        <w:rPr>
          <w:rFonts w:ascii="Calibri" w:cs="Calibri" w:eastAsia="Calibri" w:hAnsi="Calibri"/>
          <w:sz w:val="19"/>
          <w:szCs w:val="19"/>
        </w:rPr>
        <w:t xml:space="preserve">Processors accumulate. New tools are adopted by individual teams without a data protection review, and the register drifts out of date. Tie the register to the annual policy review so both move together.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Personal Data Protection Act has been amended and further provisions may come into force — have this addendum reviewed by a lawyer before use for a significant engagement, particularly where the vendor is overseas or the data includes sensitive categories.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2026-08-22T06:55:30.004Z</dcterms:created>
  <dcterms:modified xsi:type="dcterms:W3CDTF">2026-08-22T06:55:30.004Z</dcterms:modified>
</cp:coreProperties>
</file>

<file path=docProps/custom.xml><?xml version="1.0" encoding="utf-8"?>
<Properties xmlns="http://schemas.openxmlformats.org/officeDocument/2006/custom-properties" xmlns:vt="http://schemas.openxmlformats.org/officeDocument/2006/docPropsVTypes"/>
</file>