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DATA BREACH RESPONSE PLAN</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Two clocks run. Assessment must be prompt and reasonable, completed within </w:t>
      </w:r>
      <w:r>
        <w:rPr>
          <w:rFonts w:ascii="Calibri" w:cs="Calibri" w:eastAsia="Calibri" w:hAnsi="Calibri"/>
          <w:b/>
          <w:bCs/>
          <w:i/>
          <w:iCs/>
          <w:color w:val="6E7480"/>
          <w:sz w:val="21"/>
          <w:szCs w:val="21"/>
        </w:rPr>
        <w:t xml:space="preserve">30 days</w:t>
      </w:r>
      <w:r>
        <w:rPr>
          <w:rFonts w:ascii="Calibri" w:cs="Calibri" w:eastAsia="Calibri" w:hAnsi="Calibri"/>
          <w:i/>
          <w:iCs/>
          <w:color w:val="6E7480"/>
          <w:sz w:val="21"/>
          <w:szCs w:val="21"/>
        </w:rPr>
        <w:t xml:space="preserve">. Where the breach is determined notifiable, the Commission must be notified within </w:t>
      </w:r>
      <w:r>
        <w:rPr>
          <w:rFonts w:ascii="Calibri" w:cs="Calibri" w:eastAsia="Calibri" w:hAnsi="Calibri"/>
          <w:b/>
          <w:bCs/>
          <w:i/>
          <w:iCs/>
          <w:color w:val="6E7480"/>
          <w:sz w:val="21"/>
          <w:szCs w:val="21"/>
        </w:rPr>
        <w:t xml:space="preserve">3 calendar days of that determination</w:t>
      </w:r>
      <w:r>
        <w:rPr>
          <w:rFonts w:ascii="Calibri" w:cs="Calibri" w:eastAsia="Calibri" w:hAnsi="Calibri"/>
          <w:i/>
          <w:iCs/>
          <w:color w:val="6E7480"/>
          <w:sz w:val="21"/>
          <w:szCs w:val="21"/>
        </w:rPr>
        <w:t xml:space="preserve">, and affected individuals as soon as practicable. The three days runs from determination, not discovery — which is why the determination date must be recorded.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Deputy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 a suspected breach to</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and </w:t>
            </w:r>
            <w:r>
              <w:rPr>
                <w:rFonts w:ascii="Calibri" w:cs="Calibri" w:eastAsia="Calibri" w:hAnsi="Calibri"/>
                <w:b/>
                <w:bCs/>
                <w:sz w:val="19"/>
                <w:szCs w:val="19"/>
              </w:rPr>
              <w:t xml:space="preserve">[PHONE]</w:t>
            </w:r>
            <w:r>
              <w:rPr>
                <w:rFonts w:ascii="Calibri" w:cs="Calibri" w:eastAsia="Calibri" w:hAnsi="Calibri"/>
                <w:sz w:val="19"/>
                <w:szCs w:val="19"/>
              </w:rPr>
              <w:t xml:space="preserve"> — immediately, at any hour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Incident response team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[DPO, IT lead, legal, communications, business owner]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External support on call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[Forensic provider / Legal adviser / Insurer — names and numbers]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Cyber insurance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[Insurer, policy number, notification requirement]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tested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COUNTS AS A DATA BREACH</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 data breach is the unauthorised access, collection, use, disclosure, copying, modification or disposal of personal data, or the loss of a storage medium or device on which personal data is stored where unauthorised access is likely.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7904"/>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79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Examples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Malicious</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Hacking, ransomware, phishing leading to account compromise, insider theft, credential stuffing</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Accidental</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Email sent to the wrong recipient, attachment containing more data than intended, misconfigured cloud storage, mis-set access permissions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Physical</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Lost or stolen laptop, phone or USB drive; documents left behind; unsecured disposal of records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Vendor</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breach at a processor holding data on our behalf — </w:t>
            </w:r>
            <w:r>
              <w:rPr>
                <w:rFonts w:ascii="Calibri" w:cs="Calibri" w:eastAsia="Calibri" w:hAnsi="Calibri"/>
                <w:b/>
                <w:bCs/>
                <w:sz w:val="18"/>
                <w:szCs w:val="18"/>
              </w:rPr>
              <w:t xml:space="preserve">our obligation, not only theirs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System</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software fault exposing data to the wrong users; a database left accessible without authentication</w:t>
            </w:r>
          </w:p>
        </w:tc>
      </w:tr>
    </w:tbl>
    <w:p>
      <w:pPr>
        <w:spacing w:after="140"/>
      </w:pP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A near miss — where a breach was prevented or the data recovered before access occurred — should still be reported internally and recorded.</w:t>
      </w:r>
    </w:p>
    <w:p>
      <w:pPr>
        <w:keepNext/>
        <w:spacing w:after="120" w:before="280"/>
        <w:outlineLvl w:val="0"/>
      </w:pPr>
      <w:r>
        <w:rPr>
          <w:rFonts w:ascii="Calibri" w:cs="Calibri" w:eastAsia="Calibri" w:hAnsi="Calibri"/>
          <w:b/>
          <w:bCs/>
          <w:color w:val="14161B"/>
          <w:sz w:val="22"/>
          <w:szCs w:val="22"/>
        </w:rPr>
        <w:t xml:space="preserve">2. REPORT IMMEDIATELY — DO NOT ASSESS FIRST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Any person who suspects a breach must report it </w:t>
      </w:r>
      <w:r>
        <w:rPr>
          <w:rFonts w:ascii="Calibri" w:cs="Calibri" w:eastAsia="Calibri" w:hAnsi="Calibri"/>
          <w:b/>
          <w:bCs/>
          <w:sz w:val="21"/>
          <w:szCs w:val="21"/>
        </w:rPr>
        <w:t xml:space="preserve">immediately</w:t>
      </w:r>
      <w:r>
        <w:rPr>
          <w:rFonts w:ascii="Calibri" w:cs="Calibri" w:eastAsia="Calibri" w:hAnsi="Calibri"/>
          <w:sz w:val="21"/>
          <w:szCs w:val="21"/>
        </w:rPr>
        <w:t xml:space="preserve"> to the Data Protection Officer, at any hour, using the contacts above.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Do not attempt to assess whether it is serious, investigate the cause, or fix it before reporting.</w:t>
      </w:r>
      <w:r>
        <w:rPr>
          <w:rFonts w:ascii="Calibri" w:cs="Calibri" w:eastAsia="Calibri" w:hAnsi="Calibri"/>
          <w:sz w:val="21"/>
          <w:szCs w:val="21"/>
        </w:rPr>
        <w:t xml:space="preserve"> Containment time is the most valuable resource in a breach, and well-meaning attempts to resolve something quietly are the most common cause of its loss.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Do not delete, overwrite or "tidy" anything. Logs, emails and system state are the evidence for both the assessment and any subsequent investigation.</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No one will be criticised for reporting something that turns out not to be a breach. </w:t>
      </w:r>
      <w:r>
        <w:rPr>
          <w:rFonts w:ascii="Calibri" w:cs="Calibri" w:eastAsia="Calibri" w:hAnsi="Calibri"/>
          <w:b/>
          <w:bCs/>
          <w:sz w:val="21"/>
          <w:szCs w:val="21"/>
        </w:rPr>
        <w:t xml:space="preserve">Reporting a false alarm is always the right decision.</w:t>
      </w:r>
    </w:p>
    <w:p>
      <w:pPr>
        <w:keepNext/>
        <w:spacing w:after="120" w:before="280"/>
        <w:outlineLvl w:val="0"/>
      </w:pPr>
      <w:r>
        <w:rPr>
          <w:rFonts w:ascii="Calibri" w:cs="Calibri" w:eastAsia="Calibri" w:hAnsi="Calibri"/>
          <w:b/>
          <w:bCs/>
          <w:color w:val="14161B"/>
          <w:sz w:val="22"/>
          <w:szCs w:val="22"/>
        </w:rPr>
        <w:t xml:space="preserve">3. THE FIRST 72 HOURS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5397"/>
        <w:gridCol w:w="1542"/>
        <w:gridCol w:w="1736"/>
      </w:tblGrid>
      <w:tr>
        <w:trPr>
          <w:tblHeader/>
        </w:trPr>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Window</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0h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Breach reported to the Data Protection Officer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Anyone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0h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Incident reference opened; response team convened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0–2h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Contain</w:t>
            </w:r>
            <w:r>
              <w:rPr>
                <w:rFonts w:ascii="Calibri" w:cs="Calibri" w:eastAsia="Calibri" w:hAnsi="Calibri"/>
                <w:sz w:val="17"/>
                <w:szCs w:val="17"/>
              </w:rPr>
              <w:t xml:space="preserve"> — isolate systems, revoke credentials, disable accounts, recall or stop the transmission, recover devices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0–2h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Preserve logs and system state; suspend any routine deletion or overwriting</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2–6h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facts — what happened, when discovered, how, what data, how many individuals, whose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2–6h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insurer where a policy requires prompt notice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6–24h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sensitivity of the data and likelihood of significant harm</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6–24h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scale — number of individuals affected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6–24h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Engage forensic or legal support where the cause is unclear or the scale is large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24–48h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Attempt recovery or deletion of the data where possible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24–48h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Determine whether notifiable; record the determination and reasoning either way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48–72h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notifiable: </w:t>
            </w:r>
            <w:r>
              <w:rPr>
                <w:rFonts w:ascii="Calibri" w:cs="Calibri" w:eastAsia="Calibri" w:hAnsi="Calibri"/>
                <w:b/>
                <w:bCs/>
                <w:sz w:val="17"/>
                <w:szCs w:val="17"/>
              </w:rPr>
              <w:t xml:space="preserve">notify the Commission within 3 calendar days of determination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48–72h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notifiable: notify affected individuals as soon as practicable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48–72h</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Prepare holding lines for customers, staff and any media enquiry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Remediate the root cause; review and strengthen controls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in the breach register; report to management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IS IT NOTIFIABLE?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 breach is notifiable where it results in, or is likely to result in, </w:t>
      </w:r>
      <w:r>
        <w:rPr>
          <w:rFonts w:ascii="Calibri" w:cs="Calibri" w:eastAsia="Calibri" w:hAnsi="Calibri"/>
          <w:b/>
          <w:bCs/>
          <w:sz w:val="21"/>
          <w:szCs w:val="21"/>
        </w:rPr>
        <w:t xml:space="preserve">significant harm</w:t>
      </w:r>
      <w:r>
        <w:rPr>
          <w:rFonts w:ascii="Calibri" w:cs="Calibri" w:eastAsia="Calibri" w:hAnsi="Calibri"/>
          <w:sz w:val="21"/>
          <w:szCs w:val="21"/>
        </w:rPr>
        <w:t xml:space="preserve"> to affected individuals, </w:t>
      </w:r>
      <w:r>
        <w:rPr>
          <w:rFonts w:ascii="Calibri" w:cs="Calibri" w:eastAsia="Calibri" w:hAnsi="Calibri"/>
          <w:b/>
          <w:bCs/>
          <w:sz w:val="21"/>
          <w:szCs w:val="21"/>
        </w:rPr>
        <w:t xml:space="preserve">or</w:t>
      </w:r>
      <w:r>
        <w:rPr>
          <w:rFonts w:ascii="Calibri" w:cs="Calibri" w:eastAsia="Calibri" w:hAnsi="Calibri"/>
          <w:sz w:val="21"/>
          <w:szCs w:val="21"/>
        </w:rPr>
        <w:t xml:space="preserve"> where it is of </w:t>
      </w:r>
      <w:r>
        <w:rPr>
          <w:rFonts w:ascii="Calibri" w:cs="Calibri" w:eastAsia="Calibri" w:hAnsi="Calibri"/>
          <w:b/>
          <w:bCs/>
          <w:sz w:val="21"/>
          <w:szCs w:val="21"/>
        </w:rPr>
        <w:t xml:space="preserve">significant scale</w:t>
      </w:r>
      <w:r>
        <w:rPr>
          <w:rFonts w:ascii="Calibri" w:cs="Calibri" w:eastAsia="Calibri" w:hAnsi="Calibri"/>
          <w:sz w:val="21"/>
          <w:szCs w:val="21"/>
        </w:rPr>
        <w:t xml:space="preserve">. These are two separate tests — either is sufficient.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5204"/>
        <w:gridCol w:w="2507"/>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Test</w:t>
            </w:r>
          </w:p>
        </w:tc>
        <w:tc>
          <w:tcPr>
            <w:tcW w:type="dxa" w:w="52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Indicators</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Assessment</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Significant harm</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Categories of data prescribed as likely to result in significant harm, and data whose disclosure could lead to identity theft, financial loss, physical harm, discrimination, or serious embarrassment — for example identification numbers, financial account details, health information</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[ASSESSMENT AND REASONING]</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Significant scale</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number of affected individuals meets or exceeds the prescribed threshold</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affected — </w:t>
            </w:r>
            <w:r>
              <w:rPr>
                <w:rFonts w:ascii="Calibri" w:cs="Calibri" w:eastAsia="Calibri" w:hAnsi="Calibri"/>
                <w:b/>
                <w:bCs/>
                <w:sz w:val="17"/>
                <w:szCs w:val="17"/>
              </w:rPr>
              <w:t xml:space="preserve">[ASSESSMENT]</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Mitigating factor</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data was encrypted or otherwise rendered unintelligible, or was fully recovered before access, harm may be unlikely — but this must be assessed, not assumed</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[ASSESSMENT]</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Conclusion</w:t>
            </w:r>
          </w:p>
        </w:tc>
        <w:tc>
          <w:tcPr>
            <w:tcW w:type="dxa" w:w="5204"/>
            <w:tcMar>
              <w:top w:type="dxa" w:w="70"/>
              <w:left w:type="dxa" w:w="100"/>
              <w:bottom w:type="dxa" w:w="70"/>
              <w:right w:type="dxa" w:w="100"/>
            </w:tcMar>
            <w:vAlign w:val="center"/>
          </w:tcPr>
          <w:p>
            <w:pPr>
              <w:spacing w:after="0" w:line="240"/>
              <w:jc w:val="left"/>
            </w:pP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[NOTIFIABLE / NOT NOTIFIABLE]</w:t>
            </w:r>
            <w:r>
              <w:rPr>
                <w:rFonts w:ascii="Calibri" w:cs="Calibri" w:eastAsia="Calibri" w:hAnsi="Calibri"/>
                <w:sz w:val="17"/>
                <w:szCs w:val="17"/>
              </w:rPr>
              <w:t xml:space="preserve"> — determined on </w:t>
            </w: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Record the reasoning whether or not the breach is notifiable.</w:t>
      </w:r>
      <w:r>
        <w:rPr>
          <w:rFonts w:ascii="Calibri" w:cs="Calibri" w:eastAsia="Calibri" w:hAnsi="Calibri"/>
          <w:sz w:val="21"/>
          <w:szCs w:val="21"/>
        </w:rPr>
        <w:t xml:space="preserve"> A breach assessed and correctly dismissed, with no record, is indistinguishable later from a breach never assessed at all.</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Where the Company is acting as a processor for another organisation, it must notify that organisation </w:t>
      </w:r>
      <w:r>
        <w:rPr>
          <w:rFonts w:ascii="Calibri" w:cs="Calibri" w:eastAsia="Calibri" w:hAnsi="Calibri"/>
          <w:b/>
          <w:bCs/>
          <w:sz w:val="21"/>
          <w:szCs w:val="21"/>
        </w:rPr>
        <w:t xml:space="preserve">without undue delay</w:t>
      </w:r>
      <w:r>
        <w:rPr>
          <w:rFonts w:ascii="Calibri" w:cs="Calibri" w:eastAsia="Calibri" w:hAnsi="Calibri"/>
          <w:sz w:val="21"/>
          <w:szCs w:val="21"/>
        </w:rPr>
        <w:t xml:space="preserve"> on becoming aware of a breach affecting their data. The obligation to notify the Commission rests with the controlling organisation.</w:t>
      </w:r>
    </w:p>
    <w:p>
      <w:pPr>
        <w:keepNext/>
        <w:spacing w:after="120" w:before="280"/>
        <w:outlineLvl w:val="0"/>
      </w:pPr>
      <w:r>
        <w:rPr>
          <w:rFonts w:ascii="Calibri" w:cs="Calibri" w:eastAsia="Calibri" w:hAnsi="Calibri"/>
          <w:b/>
          <w:bCs/>
          <w:color w:val="14161B"/>
          <w:sz w:val="22"/>
          <w:szCs w:val="22"/>
        </w:rPr>
        <w:t xml:space="preserve">5. NOTIFYING INDIVIDUALS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Where notifiable on the significant harm basis, affected individuals must be notified as soon as practicable, unless an exception applies — including where remedial action has been taken that renders significant harm unlikely, or where technological protection was in place.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notification to individuals should state, in plain language: what happened; when; what data was involved; what the Company has done; what the individual should do; and how to contact the Company.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Notification should be direct where practicable — email, letter or telephone — rather than a notice on a website that affected individuals may never see.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i/>
          <w:iCs/>
          <w:sz w:val="21"/>
          <w:szCs w:val="21"/>
        </w:rPr>
        <w:t xml:space="preserve">Do not minimise. A notification that understates what happened, and is later shown to have done so, damages trust far more than the breach itself.</w:t>
      </w:r>
    </w:p>
    <w:p>
      <w:pPr>
        <w:keepNext/>
        <w:spacing w:after="120" w:before="280"/>
        <w:outlineLvl w:val="0"/>
      </w:pPr>
      <w:r>
        <w:rPr>
          <w:rFonts w:ascii="Calibri" w:cs="Calibri" w:eastAsia="Calibri" w:hAnsi="Calibri"/>
          <w:b/>
          <w:bCs/>
          <w:color w:val="14161B"/>
          <w:sz w:val="22"/>
          <w:szCs w:val="22"/>
        </w:rPr>
        <w:t xml:space="preserve">6. COMMUNICATION TEMPLATE</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Notification of a personal data incident</w:t>
      </w:r>
    </w:p>
    <w:p>
      <w:pPr>
        <w:spacing w:after="120" w:before="0" w:line="276"/>
        <w:jc w:val="both"/>
      </w:pPr>
      <w:r>
        <w:rPr>
          <w:rFonts w:ascii="Calibri" w:cs="Calibri" w:eastAsia="Calibri" w:hAnsi="Calibri"/>
          <w:sz w:val="21"/>
          <w:szCs w:val="21"/>
        </w:rPr>
        <w:t xml:space="preserve">I am writing to tell you about an incident affecting some of your personal data held by us, and what we are doing about it. I am sorry this has happened.</w:t>
      </w:r>
    </w:p>
    <w:p>
      <w:pPr>
        <w:spacing w:after="120" w:before="0" w:line="276"/>
        <w:jc w:val="both"/>
      </w:pPr>
      <w:r>
        <w:rPr>
          <w:rFonts w:ascii="Calibri" w:cs="Calibri" w:eastAsia="Calibri" w:hAnsi="Calibri"/>
          <w:b/>
          <w:bCs/>
          <w:sz w:val="21"/>
          <w:szCs w:val="21"/>
        </w:rPr>
        <w:t xml:space="preserve">What happened.</w:t>
      </w:r>
      <w:r>
        <w:rPr>
          <w:rFonts w:ascii="Calibri" w:cs="Calibri" w:eastAsia="Calibri" w:hAnsi="Calibri"/>
          <w:sz w:val="21"/>
          <w:szCs w:val="21"/>
        </w:rPr>
        <w:t xml:space="preserve"> </w:t>
      </w:r>
      <w:r>
        <w:rPr>
          <w:rFonts w:ascii="Calibri" w:cs="Calibri" w:eastAsia="Calibri" w:hAnsi="Calibri"/>
          <w:b/>
          <w:bCs/>
          <w:sz w:val="21"/>
          <w:szCs w:val="21"/>
        </w:rPr>
        <w:t xml:space="preserve">[DESCRIBE PLAINLY — what occurred and how.]</w:t>
      </w:r>
      <w:r>
        <w:rPr>
          <w:rFonts w:ascii="Calibri" w:cs="Calibri" w:eastAsia="Calibri" w:hAnsi="Calibri"/>
          <w:sz w:val="21"/>
          <w:szCs w:val="21"/>
        </w:rPr>
        <w:t xml:space="preserve"> We became aware of this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What data was involved.</w:t>
      </w:r>
      <w:r>
        <w:rPr>
          <w:rFonts w:ascii="Calibri" w:cs="Calibri" w:eastAsia="Calibri" w:hAnsi="Calibri"/>
          <w:sz w:val="21"/>
          <w:szCs w:val="21"/>
        </w:rPr>
        <w:t xml:space="preserve"> </w:t>
      </w:r>
      <w:r>
        <w:rPr>
          <w:rFonts w:ascii="Calibri" w:cs="Calibri" w:eastAsia="Calibri" w:hAnsi="Calibri"/>
          <w:b/>
          <w:bCs/>
          <w:sz w:val="21"/>
          <w:szCs w:val="21"/>
        </w:rPr>
        <w:t xml:space="preserve">[LIST THE CATEGORIES SPECIFICALLY — name, contact details, identification number, financial details, other.]</w:t>
      </w:r>
      <w:r>
        <w:rPr>
          <w:rFonts w:ascii="Calibri" w:cs="Calibri" w:eastAsia="Calibri" w:hAnsi="Calibri"/>
          <w:sz w:val="21"/>
          <w:szCs w:val="21"/>
        </w:rPr>
        <w:t xml:space="preserve"> </w:t>
      </w:r>
      <w:r>
        <w:rPr>
          <w:rFonts w:ascii="Calibri" w:cs="Calibri" w:eastAsia="Calibri" w:hAnsi="Calibri"/>
          <w:b/>
          <w:bCs/>
          <w:sz w:val="21"/>
          <w:szCs w:val="21"/>
        </w:rPr>
        <w:t xml:space="preserve">[STATE WHAT WAS NOT INVOLVED, where that is genuinely reassuring and true.]</w:t>
      </w:r>
    </w:p>
    <w:p>
      <w:pPr>
        <w:spacing w:after="120" w:before="0" w:line="276"/>
        <w:jc w:val="both"/>
      </w:pPr>
      <w:r>
        <w:rPr>
          <w:rFonts w:ascii="Calibri" w:cs="Calibri" w:eastAsia="Calibri" w:hAnsi="Calibri"/>
          <w:b/>
          <w:bCs/>
          <w:sz w:val="21"/>
          <w:szCs w:val="21"/>
        </w:rPr>
        <w:t xml:space="preserve">What we have done.</w:t>
      </w:r>
      <w:r>
        <w:rPr>
          <w:rFonts w:ascii="Calibri" w:cs="Calibri" w:eastAsia="Calibri" w:hAnsi="Calibri"/>
          <w:sz w:val="21"/>
          <w:szCs w:val="21"/>
        </w:rPr>
        <w:t xml:space="preserve"> </w:t>
      </w:r>
      <w:r>
        <w:rPr>
          <w:rFonts w:ascii="Calibri" w:cs="Calibri" w:eastAsia="Calibri" w:hAnsi="Calibri"/>
          <w:b/>
          <w:bCs/>
          <w:sz w:val="21"/>
          <w:szCs w:val="21"/>
        </w:rPr>
        <w:t xml:space="preserve">[CONTAINMENT, RECOVERY, REMEDIATION, AND WHETHER THE COMMISSION HAS BEEN NOTIFIED.]</w:t>
      </w:r>
    </w:p>
    <w:p>
      <w:pPr>
        <w:spacing w:after="120" w:before="0" w:line="276"/>
        <w:jc w:val="both"/>
      </w:pPr>
      <w:r>
        <w:rPr>
          <w:rFonts w:ascii="Calibri" w:cs="Calibri" w:eastAsia="Calibri" w:hAnsi="Calibri"/>
          <w:b/>
          <w:bCs/>
          <w:sz w:val="21"/>
          <w:szCs w:val="21"/>
        </w:rPr>
        <w:t xml:space="preserve">What you should do.</w:t>
      </w:r>
      <w:r>
        <w:rPr>
          <w:rFonts w:ascii="Calibri" w:cs="Calibri" w:eastAsia="Calibri" w:hAnsi="Calibri"/>
          <w:sz w:val="21"/>
          <w:szCs w:val="21"/>
        </w:rPr>
        <w:t xml:space="preserve"> </w:t>
      </w:r>
      <w:r>
        <w:rPr>
          <w:rFonts w:ascii="Calibri" w:cs="Calibri" w:eastAsia="Calibri" w:hAnsi="Calibri"/>
          <w:b/>
          <w:bCs/>
          <w:sz w:val="21"/>
          <w:szCs w:val="21"/>
        </w:rPr>
        <w:t xml:space="preserve">[SPECIFIC, ACTIONABLE STEPS — change a password, watch for unusual activity on a stated account, be alert to messages purporting to come from us, contact your bank. Generic advice to "remain vigilant" is not useful.]</w:t>
      </w:r>
    </w:p>
    <w:p>
      <w:pPr>
        <w:spacing w:after="140" w:before="0" w:line="276"/>
        <w:jc w:val="both"/>
      </w:pPr>
      <w:r>
        <w:rPr>
          <w:rFonts w:ascii="Calibri" w:cs="Calibri" w:eastAsia="Calibri" w:hAnsi="Calibri"/>
          <w:b/>
          <w:bCs/>
          <w:sz w:val="21"/>
          <w:szCs w:val="21"/>
        </w:rPr>
        <w:t xml:space="preserve">Contact.</w:t>
      </w:r>
      <w:r>
        <w:rPr>
          <w:rFonts w:ascii="Calibri" w:cs="Calibri" w:eastAsia="Calibri" w:hAnsi="Calibri"/>
          <w:sz w:val="21"/>
          <w:szCs w:val="21"/>
        </w:rPr>
        <w:t xml:space="preserve"> If you have questions,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w:t>
      </w:r>
      <w:r>
        <w:rPr>
          <w:rFonts w:ascii="Calibri" w:cs="Calibri" w:eastAsia="Calibri" w:hAnsi="Calibri"/>
          <w:b/>
          <w:bCs/>
          <w:sz w:val="21"/>
          <w:szCs w:val="21"/>
        </w:rPr>
        <w:t xml:space="preserve">[PHONE]</w:t>
      </w:r>
      <w:r>
        <w:rPr>
          <w:rFonts w:ascii="Calibri" w:cs="Calibri" w:eastAsia="Calibri" w:hAnsi="Calibri"/>
          <w:sz w:val="21"/>
          <w:szCs w:val="21"/>
        </w:rPr>
        <w:t xml:space="preserve">. You may also complain to the Personal Data Protection Commission.</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[NAME]</w:t>
      </w:r>
      <w:r>
        <w:rPr>
          <w:rFonts w:ascii="Calibri" w:cs="Calibri" w:eastAsia="Calibri" w:hAnsi="Calibri"/>
          <w:sz w:val="21"/>
          <w:szCs w:val="21"/>
        </w:rPr>
        <w:t xml:space="preserve">, Data Protection Officer, </w:t>
      </w:r>
      <w:r>
        <w:rPr>
          <w:rFonts w:ascii="Calibri" w:cs="Calibri" w:eastAsia="Calibri" w:hAnsi="Calibri"/>
          <w:b/>
          <w:bCs/>
          <w:sz w:val="21"/>
          <w:szCs w:val="21"/>
        </w:rPr>
        <w:t xml:space="preserve">[COMPANY NAME]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Breach Register</w:t>
      </w:r>
    </w:p>
    <w:p>
      <w:pPr>
        <w:spacing w:after="120" w:before="0" w:line="276"/>
        <w:jc w:val="both"/>
      </w:pPr>
      <w:r>
        <w:rPr>
          <w:rFonts w:ascii="Calibri" w:cs="Calibri" w:eastAsia="Calibri" w:hAnsi="Calibri"/>
          <w:i/>
          <w:iCs/>
          <w:sz w:val="21"/>
          <w:szCs w:val="21"/>
        </w:rPr>
        <w:t xml:space="preserve">Record every incident assessed, including those determined not notifiable.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674"/>
        <w:gridCol w:w="771"/>
        <w:gridCol w:w="771"/>
        <w:gridCol w:w="1156"/>
        <w:gridCol w:w="674"/>
        <w:gridCol w:w="674"/>
        <w:gridCol w:w="867"/>
        <w:gridCol w:w="674"/>
        <w:gridCol w:w="867"/>
        <w:gridCol w:w="867"/>
        <w:gridCol w:w="867"/>
        <w:gridCol w:w="487"/>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Ref</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Discovered</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Type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Data categories</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Individuals</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Contained</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Determination date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Notifiable?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Commission notified</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Individuals notified</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Root cause</w:t>
            </w:r>
          </w:p>
        </w:tc>
        <w:tc>
          <w:tcPr>
            <w:tcW w:type="dxa" w:w="48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Closed</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[REF]</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[TYPE]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[CATEGORIES]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[CAUSE]</w:t>
            </w:r>
          </w:p>
        </w:tc>
        <w:tc>
          <w:tcPr>
            <w:tcW w:type="dxa" w:w="48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[REF]</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[TYPE]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[CATEGORIES]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[CAUSE]</w:t>
            </w:r>
          </w:p>
        </w:tc>
        <w:tc>
          <w:tcPr>
            <w:tcW w:type="dxa" w:w="48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[REF]</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[Near miss]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[CATEGORIES]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[CAUSE]</w:t>
            </w:r>
          </w:p>
        </w:tc>
        <w:tc>
          <w:tcPr>
            <w:tcW w:type="dxa" w:w="48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Readiness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contacts published internally and known by all staff, including out of hours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Deputy appointed and briefed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Response team identified with named individuals and contact details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Forensic, legal and insurer contacts held and current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inventory current — what we hold, where, and how sensitive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Logging enabled and retained long enough to investigate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Ability to isolate systems and revoke credentials quickly, and tested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Processor agreements require immediate breach notification to us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register in place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Staff trained to report immediately and not to self-assess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Plan walked through in a tabletop exercise within the last 12 months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Holding communications drafted in advance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Cyber insurance notification requirements understood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Escalation route to the Board defined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Thirty days to assess, three days to notify from determination</w:t>
      </w:r>
    </w:p>
    <w:p>
      <w:pPr>
        <w:spacing w:after="60" w:line="264"/>
        <w:jc w:val="both"/>
      </w:pPr>
      <w:r>
        <w:rPr>
          <w:rFonts w:ascii="Calibri" w:cs="Calibri" w:eastAsia="Calibri" w:hAnsi="Calibri"/>
          <w:sz w:val="19"/>
          <w:szCs w:val="19"/>
        </w:rPr>
        <w:t xml:space="preserve">The assessment must be prompt and reasonable and completed within thirty days of becoming aware of a suspected breach. Where determined notifiable, the Commission must be notified within three calendar days </w:t>
      </w:r>
      <w:r>
        <w:rPr>
          <w:rFonts w:ascii="Calibri" w:cs="Calibri" w:eastAsia="Calibri" w:hAnsi="Calibri"/>
          <w:b/>
          <w:bCs/>
          <w:sz w:val="19"/>
          <w:szCs w:val="19"/>
        </w:rPr>
        <w:t xml:space="preserve">of the determination</w:t>
      </w:r>
      <w:r>
        <w:rPr>
          <w:rFonts w:ascii="Calibri" w:cs="Calibri" w:eastAsia="Calibri" w:hAnsi="Calibri"/>
          <w:sz w:val="19"/>
          <w:szCs w:val="19"/>
        </w:rPr>
        <w:t xml:space="preserve">, and affected individuals as soon as practicable. Because the three days runs from determination rather than discovery, the determination date is the single most important entry in the register.</w:t>
      </w:r>
    </w:p>
    <w:p>
      <w:pPr>
        <w:keepNext/>
        <w:spacing w:after="40" w:before="140"/>
      </w:pPr>
      <w:r>
        <w:rPr>
          <w:rFonts w:ascii="Calibri" w:cs="Calibri" w:eastAsia="Calibri" w:hAnsi="Calibri"/>
          <w:b/>
          <w:bCs/>
          <w:color w:val="14161B"/>
          <w:sz w:val="20"/>
          <w:szCs w:val="20"/>
        </w:rPr>
        <w:t xml:space="preserve">Do not let assessment drift to day thirty</w:t>
      </w:r>
    </w:p>
    <w:p>
      <w:pPr>
        <w:spacing w:after="60" w:line="264"/>
        <w:jc w:val="both"/>
      </w:pPr>
      <w:r>
        <w:rPr>
          <w:rFonts w:ascii="Calibri" w:cs="Calibri" w:eastAsia="Calibri" w:hAnsi="Calibri"/>
          <w:sz w:val="19"/>
          <w:szCs w:val="19"/>
        </w:rPr>
        <w:t xml:space="preserve">Thirty days is an outer limit for a genuinely complex investigation, not a target. Most breaches can be assessed within a few days, and a determination made a month after discovery, with individuals notified after that, is difficult to defend as prompt even if technically within the period.</w:t>
      </w:r>
    </w:p>
    <w:p>
      <w:pPr>
        <w:keepNext/>
        <w:spacing w:after="40" w:before="140"/>
      </w:pPr>
      <w:r>
        <w:rPr>
          <w:rFonts w:ascii="Calibri" w:cs="Calibri" w:eastAsia="Calibri" w:hAnsi="Calibri"/>
          <w:b/>
          <w:bCs/>
          <w:color w:val="14161B"/>
          <w:sz w:val="20"/>
          <w:szCs w:val="20"/>
        </w:rPr>
        <w:t xml:space="preserve">Two independent tests</w:t>
      </w:r>
    </w:p>
    <w:p>
      <w:pPr>
        <w:spacing w:after="60" w:line="264"/>
        <w:jc w:val="both"/>
      </w:pPr>
      <w:r>
        <w:rPr>
          <w:rFonts w:ascii="Calibri" w:cs="Calibri" w:eastAsia="Calibri" w:hAnsi="Calibri"/>
          <w:sz w:val="19"/>
          <w:szCs w:val="19"/>
        </w:rPr>
        <w:t xml:space="preserve">Notifiability arises on significant harm </w:t>
      </w:r>
      <w:r>
        <w:rPr>
          <w:rFonts w:ascii="Calibri" w:cs="Calibri" w:eastAsia="Calibri" w:hAnsi="Calibri"/>
          <w:b/>
          <w:bCs/>
          <w:sz w:val="19"/>
          <w:szCs w:val="19"/>
        </w:rPr>
        <w:t xml:space="preserve">or</w:t>
      </w:r>
      <w:r>
        <w:rPr>
          <w:rFonts w:ascii="Calibri" w:cs="Calibri" w:eastAsia="Calibri" w:hAnsi="Calibri"/>
          <w:sz w:val="19"/>
          <w:szCs w:val="19"/>
        </w:rPr>
        <w:t xml:space="preserve"> significant scale. A small breach of highly sensitive data is notifiable on harm; a large breach of low-sensitivity data is notifiable on scale. Assessing only one of them is the most common analytical error.</w:t>
      </w:r>
    </w:p>
    <w:p>
      <w:pPr>
        <w:keepNext/>
        <w:spacing w:after="40" w:before="140"/>
      </w:pPr>
      <w:r>
        <w:rPr>
          <w:rFonts w:ascii="Calibri" w:cs="Calibri" w:eastAsia="Calibri" w:hAnsi="Calibri"/>
          <w:b/>
          <w:bCs/>
          <w:color w:val="14161B"/>
          <w:sz w:val="20"/>
          <w:szCs w:val="20"/>
        </w:rPr>
        <w:t xml:space="preserve">Record the reasoning when you decide not to notify</w:t>
      </w:r>
    </w:p>
    <w:p>
      <w:pPr>
        <w:spacing w:after="60" w:line="264"/>
        <w:jc w:val="both"/>
      </w:pPr>
      <w:r>
        <w:rPr>
          <w:rFonts w:ascii="Calibri" w:cs="Calibri" w:eastAsia="Calibri" w:hAnsi="Calibri"/>
          <w:sz w:val="19"/>
          <w:szCs w:val="19"/>
        </w:rPr>
        <w:t xml:space="preserve">Organisations diligently document notified breaches and document nothing about those assessed and dismissed. If the decision is later questioned, the absence of a record is indistinguishable from never having assessed. Clause 4.2 and the register both require it.</w:t>
      </w:r>
    </w:p>
    <w:p>
      <w:pPr>
        <w:keepNext/>
        <w:spacing w:after="40" w:before="140"/>
      </w:pPr>
      <w:r>
        <w:rPr>
          <w:rFonts w:ascii="Calibri" w:cs="Calibri" w:eastAsia="Calibri" w:hAnsi="Calibri"/>
          <w:b/>
          <w:bCs/>
          <w:color w:val="14161B"/>
          <w:sz w:val="20"/>
          <w:szCs w:val="20"/>
        </w:rPr>
        <w:t xml:space="preserve">Report first, investigate second</w:t>
      </w:r>
    </w:p>
    <w:p>
      <w:pPr>
        <w:spacing w:after="60" w:line="264"/>
        <w:jc w:val="both"/>
      </w:pPr>
      <w:r>
        <w:rPr>
          <w:rFonts w:ascii="Calibri" w:cs="Calibri" w:eastAsia="Calibri" w:hAnsi="Calibri"/>
          <w:sz w:val="19"/>
          <w:szCs w:val="19"/>
        </w:rPr>
        <w:t xml:space="preserve">Clause 2.2 is the most important operational instruction in this plan. The costliest delays come from someone discovering a problem and trying to fix or understand it before telling anyone — which loses containment time and frequently destroys the logs needed to establish scope.</w:t>
      </w:r>
    </w:p>
    <w:p>
      <w:pPr>
        <w:keepNext/>
        <w:spacing w:after="40" w:before="140"/>
      </w:pPr>
      <w:r>
        <w:rPr>
          <w:rFonts w:ascii="Calibri" w:cs="Calibri" w:eastAsia="Calibri" w:hAnsi="Calibri"/>
          <w:b/>
          <w:bCs/>
          <w:color w:val="14161B"/>
          <w:sz w:val="20"/>
          <w:szCs w:val="20"/>
        </w:rPr>
        <w:t xml:space="preserve">Never punish a false alarm</w:t>
      </w:r>
    </w:p>
    <w:p>
      <w:pPr>
        <w:spacing w:after="60" w:line="264"/>
        <w:jc w:val="both"/>
      </w:pPr>
      <w:r>
        <w:rPr>
          <w:rFonts w:ascii="Calibri" w:cs="Calibri" w:eastAsia="Calibri" w:hAnsi="Calibri"/>
          <w:sz w:val="19"/>
          <w:szCs w:val="19"/>
        </w:rPr>
        <w:t xml:space="preserve">Clause 2.4 exists because staff who fear looking foolish will hesitate, and hesitation is measured in hours that matter. Say it in training, and mean it the first time someone reports something trivial.</w:t>
      </w:r>
    </w:p>
    <w:p>
      <w:pPr>
        <w:keepNext/>
        <w:spacing w:after="40" w:before="140"/>
      </w:pPr>
      <w:r>
        <w:rPr>
          <w:rFonts w:ascii="Calibri" w:cs="Calibri" w:eastAsia="Calibri" w:hAnsi="Calibri"/>
          <w:b/>
          <w:bCs/>
          <w:color w:val="14161B"/>
          <w:sz w:val="20"/>
          <w:szCs w:val="20"/>
        </w:rPr>
        <w:t xml:space="preserve">Preserve the evidence</w:t>
      </w:r>
    </w:p>
    <w:p>
      <w:pPr>
        <w:spacing w:after="60" w:line="264"/>
        <w:jc w:val="both"/>
      </w:pPr>
      <w:r>
        <w:rPr>
          <w:rFonts w:ascii="Calibri" w:cs="Calibri" w:eastAsia="Calibri" w:hAnsi="Calibri"/>
          <w:sz w:val="19"/>
          <w:szCs w:val="19"/>
        </w:rPr>
        <w:t xml:space="preserve">Suspending routine log rotation and deletion is an early containment step, not an afterthought. Many organisations discover during a breach that their logging retention is shorter than the period they need to investigate — checklist item 6 tests that in advance.</w:t>
      </w:r>
    </w:p>
    <w:p>
      <w:pPr>
        <w:keepNext/>
        <w:spacing w:after="40" w:before="140"/>
      </w:pPr>
      <w:r>
        <w:rPr>
          <w:rFonts w:ascii="Calibri" w:cs="Calibri" w:eastAsia="Calibri" w:hAnsi="Calibri"/>
          <w:b/>
          <w:bCs/>
          <w:color w:val="14161B"/>
          <w:sz w:val="20"/>
          <w:szCs w:val="20"/>
        </w:rPr>
        <w:t xml:space="preserve">A processor breach is your breach</w:t>
      </w:r>
    </w:p>
    <w:p>
      <w:pPr>
        <w:spacing w:after="60" w:line="264"/>
        <w:jc w:val="both"/>
      </w:pPr>
      <w:r>
        <w:rPr>
          <w:rFonts w:ascii="Calibri" w:cs="Calibri" w:eastAsia="Calibri" w:hAnsi="Calibri"/>
          <w:sz w:val="19"/>
          <w:szCs w:val="19"/>
        </w:rPr>
        <w:t xml:space="preserve">Where a vendor holding data on your behalf is breached, the obligation to assess and notify rests with you. That is why processor agreements must require immediate notification to you — a vendor that tells you three weeks later makes your own timeline impossible. Checklist item 8 tests the contract, not the relationship.</w:t>
      </w:r>
    </w:p>
    <w:p>
      <w:pPr>
        <w:keepNext/>
        <w:spacing w:after="40" w:before="140"/>
      </w:pPr>
      <w:r>
        <w:rPr>
          <w:rFonts w:ascii="Calibri" w:cs="Calibri" w:eastAsia="Calibri" w:hAnsi="Calibri"/>
          <w:b/>
          <w:bCs/>
          <w:color w:val="14161B"/>
          <w:sz w:val="20"/>
          <w:szCs w:val="20"/>
        </w:rPr>
        <w:t xml:space="preserve">If you are the processor, notify the controller without delay</w:t>
      </w:r>
    </w:p>
    <w:p>
      <w:pPr>
        <w:spacing w:after="60" w:line="264"/>
        <w:jc w:val="both"/>
      </w:pPr>
      <w:r>
        <w:rPr>
          <w:rFonts w:ascii="Calibri" w:cs="Calibri" w:eastAsia="Calibri" w:hAnsi="Calibri"/>
          <w:sz w:val="19"/>
          <w:szCs w:val="19"/>
        </w:rPr>
        <w:t xml:space="preserve">Where the Company processes data for another organisation and a breach occurs, the obligation is to notify that organisation without undue delay so that they can meet their own deadlines. Clause 4.3 states this.</w:t>
      </w:r>
    </w:p>
    <w:p>
      <w:pPr>
        <w:keepNext/>
        <w:spacing w:after="40" w:before="140"/>
      </w:pPr>
      <w:r>
        <w:rPr>
          <w:rFonts w:ascii="Calibri" w:cs="Calibri" w:eastAsia="Calibri" w:hAnsi="Calibri"/>
          <w:b/>
          <w:bCs/>
          <w:color w:val="14161B"/>
          <w:sz w:val="20"/>
          <w:szCs w:val="20"/>
        </w:rPr>
        <w:t xml:space="preserve">Encryption is a mitigating factor, not an exemption</w:t>
      </w:r>
    </w:p>
    <w:p>
      <w:pPr>
        <w:spacing w:after="60" w:line="264"/>
        <w:jc w:val="both"/>
      </w:pPr>
      <w:r>
        <w:rPr>
          <w:rFonts w:ascii="Calibri" w:cs="Calibri" w:eastAsia="Calibri" w:hAnsi="Calibri"/>
          <w:sz w:val="19"/>
          <w:szCs w:val="19"/>
        </w:rPr>
        <w:t xml:space="preserve">Where data was encrypted or otherwise unintelligible, or was fully recovered before any access, significant harm may be unlikely. That must be assessed and documented on the facts — including whether the key was also compromised — not assumed because a system is described as encrypted.</w:t>
      </w:r>
    </w:p>
    <w:p>
      <w:pPr>
        <w:keepNext/>
        <w:spacing w:after="40" w:before="140"/>
      </w:pPr>
      <w:r>
        <w:rPr>
          <w:rFonts w:ascii="Calibri" w:cs="Calibri" w:eastAsia="Calibri" w:hAnsi="Calibri"/>
          <w:b/>
          <w:bCs/>
          <w:color w:val="14161B"/>
          <w:sz w:val="20"/>
          <w:szCs w:val="20"/>
        </w:rPr>
        <w:t xml:space="preserve">Tell individuals something they can act on</w:t>
      </w:r>
    </w:p>
    <w:p>
      <w:pPr>
        <w:spacing w:after="60" w:line="264"/>
        <w:jc w:val="both"/>
      </w:pPr>
      <w:r>
        <w:rPr>
          <w:rFonts w:ascii="Calibri" w:cs="Calibri" w:eastAsia="Calibri" w:hAnsi="Calibri"/>
          <w:sz w:val="19"/>
          <w:szCs w:val="19"/>
        </w:rPr>
        <w:t xml:space="preserve">Notification advice such as "please remain vigilant" is not useful. Tell people specifically what to change, which account to watch, and what a fraudulent contact might look like. The quality of that section is what determines whether the notification helps anyone.</w:t>
      </w:r>
    </w:p>
    <w:p>
      <w:pPr>
        <w:keepNext/>
        <w:spacing w:after="40" w:before="140"/>
      </w:pPr>
      <w:r>
        <w:rPr>
          <w:rFonts w:ascii="Calibri" w:cs="Calibri" w:eastAsia="Calibri" w:hAnsi="Calibri"/>
          <w:b/>
          <w:bCs/>
          <w:color w:val="14161B"/>
          <w:sz w:val="20"/>
          <w:szCs w:val="20"/>
        </w:rPr>
        <w:t xml:space="preserve">Do not minimise</w:t>
      </w:r>
    </w:p>
    <w:p>
      <w:pPr>
        <w:spacing w:after="60" w:line="264"/>
        <w:jc w:val="both"/>
      </w:pPr>
      <w:r>
        <w:rPr>
          <w:rFonts w:ascii="Calibri" w:cs="Calibri" w:eastAsia="Calibri" w:hAnsi="Calibri"/>
          <w:sz w:val="19"/>
          <w:szCs w:val="19"/>
        </w:rPr>
        <w:t xml:space="preserve">A notification that understates the scope, and is later corrected, causes more damage than the original breach. It also converts a regulatory matter into a credibility problem. Say what happened.</w:t>
      </w:r>
    </w:p>
    <w:p>
      <w:pPr>
        <w:keepNext/>
        <w:spacing w:after="40" w:before="140"/>
      </w:pPr>
      <w:r>
        <w:rPr>
          <w:rFonts w:ascii="Calibri" w:cs="Calibri" w:eastAsia="Calibri" w:hAnsi="Calibri"/>
          <w:b/>
          <w:bCs/>
          <w:color w:val="14161B"/>
          <w:sz w:val="20"/>
          <w:szCs w:val="20"/>
        </w:rPr>
        <w:t xml:space="preserve">Notify the insurer early</w:t>
      </w:r>
    </w:p>
    <w:p>
      <w:pPr>
        <w:spacing w:after="60" w:line="264"/>
        <w:jc w:val="both"/>
      </w:pPr>
      <w:r>
        <w:rPr>
          <w:rFonts w:ascii="Calibri" w:cs="Calibri" w:eastAsia="Calibri" w:hAnsi="Calibri"/>
          <w:sz w:val="19"/>
          <w:szCs w:val="19"/>
        </w:rPr>
        <w:t xml:space="preserve">Cyber policies typically require prompt notification and may require the insurer to approve forensic or legal providers before engagement. Engaging your own forensic firm first can prejudice cover. Item 13 of the checklist requires the policy conditions to be understood before an incident, not during one.</w:t>
      </w:r>
    </w:p>
    <w:p>
      <w:pPr>
        <w:keepNext/>
        <w:spacing w:after="40" w:before="140"/>
      </w:pPr>
      <w:r>
        <w:rPr>
          <w:rFonts w:ascii="Calibri" w:cs="Calibri" w:eastAsia="Calibri" w:hAnsi="Calibri"/>
          <w:b/>
          <w:bCs/>
          <w:color w:val="14161B"/>
          <w:sz w:val="20"/>
          <w:szCs w:val="20"/>
        </w:rPr>
        <w:t xml:space="preserve">Test the plan before you need it</w:t>
      </w:r>
    </w:p>
    <w:p>
      <w:pPr>
        <w:spacing w:after="60" w:line="264"/>
        <w:jc w:val="both"/>
      </w:pPr>
      <w:r>
        <w:rPr>
          <w:rFonts w:ascii="Calibri" w:cs="Calibri" w:eastAsia="Calibri" w:hAnsi="Calibri"/>
          <w:sz w:val="19"/>
          <w:szCs w:val="19"/>
        </w:rPr>
        <w:t xml:space="preserve">A tabletop exercise reliably surfaces the gaps — nobody knows the out-of-hours number, the response team includes someone who left, logs are only kept a week, nobody has authority to take a system offline. Item 11 makes it annual. A plan that has never been walked through is a document, not a capability.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Notification thresholds, prescribed data categories, the scale threshold, timelines and Commission guidance all change — confirm the current position with the Personal Data Protection Commission, and take legal advice during any significant breach rather than after it.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2026-08-22T06:55:29.944Z</dcterms:created>
  <dcterms:modified xsi:type="dcterms:W3CDTF">2026-08-22T06:55:29.944Z</dcterms:modified>
</cp:coreProperties>
</file>

<file path=docProps/custom.xml><?xml version="1.0" encoding="utf-8"?>
<Properties xmlns="http://schemas.openxmlformats.org/officeDocument/2006/custom-properties" xmlns:vt="http://schemas.openxmlformats.org/officeDocument/2006/docPropsVTypes"/>
</file>