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CENTRAL PROVIDENT FUND</w:t>
      </w:r>
    </w:p>
    <w:p>
      <w:pPr>
        <w:spacing w:after="260"/>
        <w:jc w:val="center"/>
      </w:pPr>
      <w:r>
        <w:rPr>
          <w:rFonts w:ascii="Calibri" w:cs="Calibri" w:eastAsia="Calibri" w:hAnsi="Calibri"/>
          <w:i/>
          <w:iCs/>
          <w:color w:val="6E7480"/>
          <w:sz w:val="19"/>
          <w:szCs w:val="19"/>
        </w:rPr>
        <w:t xml:space="preserve">Contribution checklist and payroll controls</w:t>
      </w:r>
    </w:p>
    <w:p>
      <w:pPr>
        <w:spacing w:after="180" w:before="0" w:line="276"/>
        <w:jc w:val="both"/>
      </w:pPr>
      <w:r>
        <w:rPr>
          <w:rFonts w:ascii="Calibri" w:cs="Calibri" w:eastAsia="Calibri" w:hAnsi="Calibri"/>
          <w:i/>
          <w:iCs/>
          <w:color w:val="6E7480"/>
          <w:sz w:val="21"/>
          <w:szCs w:val="21"/>
        </w:rPr>
        <w:t xml:space="preserve">Two errors account for most Central Provident Fund problems: contributing for employees for whom contributions are not payable, and computing on the wrong wage base. The first is an offence; the second accrues quietly and surfaces as an arrears assessment with interest. Both are prevented by controls at setup rather than corrections at audit.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CPF Submission Number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[CSN]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Payroll period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[MONTH]</w:t>
            </w:r>
            <w:r>
              <w:rPr>
                <w:rFonts w:ascii="Calibri" w:cs="Calibri" w:eastAsia="Calibri" w:hAnsi="Calibri"/>
                <w:b/>
                <w:bCs/>
                <w:sz w:val="19"/>
                <w:szCs w:val="19"/>
              </w:rPr>
              <w:t xml:space="preserve"> </w:t>
            </w:r>
            <w:r>
              <w:rPr>
                <w:rFonts w:ascii="Calibri" w:cs="Calibri" w:eastAsia="Calibri" w:hAnsi="Calibri"/>
                <w:b/>
                <w:bCs/>
                <w:sz w:val="19"/>
                <w:szCs w:val="19"/>
              </w:rPr>
              <w:t xml:space="preserve">[YEAR]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employees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 whom citizens and permanent residents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contributions payable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Of whom work pass holders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contributions not payable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Contribution due date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14th</w:t>
            </w:r>
            <w:r>
              <w:rPr>
                <w:rFonts w:ascii="Calibri" w:cs="Calibri" w:eastAsia="Calibri" w:hAnsi="Calibri"/>
                <w:sz w:val="19"/>
                <w:szCs w:val="19"/>
              </w:rPr>
              <w:t xml:space="preserve"> of the following month</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Prepared by / reviewed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[NAME]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CONTRIBUTIONS ARE PAYABLE FOR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2120"/>
        <w:gridCol w:w="404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Category</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Contributions payable?</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citizen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Rates by age band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permanent resident — first two years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Graduated rates apply; full rates may be elected jointly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permanent resident — thereafter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Full rates by age band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Pass holder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Contributing is an offence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 Pass holder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worker levy applies instead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holder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worker levy applies instead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pass types]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specific pass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aged over 55</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Rates step down across bands; rates for older workers have been increased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Employee working overseas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where the employee is posted abroad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 drawing director’s fees only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no]</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Fees are not wages; salary as an employee is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Part-time and casual employees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citizen or permanent resident, regardless of hours</w:t>
            </w:r>
          </w:p>
        </w:tc>
      </w:tr>
    </w:tbl>
    <w:p>
      <w:pPr>
        <w:spacing w:after="160"/>
      </w:pPr>
    </w:p>
    <w:p>
      <w:pPr>
        <w:keepNext/>
        <w:spacing w:after="120" w:before="280"/>
        <w:outlineLvl w:val="0"/>
      </w:pPr>
      <w:r>
        <w:rPr>
          <w:rFonts w:ascii="Calibri" w:cs="Calibri" w:eastAsia="Calibri" w:hAnsi="Calibri"/>
          <w:b/>
          <w:bCs/>
          <w:color w:val="14161B"/>
          <w:sz w:val="22"/>
          <w:szCs w:val="22"/>
        </w:rPr>
        <w:t xml:space="preserve">2. WHAT COUNTS AS WAGES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Contributions are payable on </w:t>
      </w:r>
      <w:r>
        <w:rPr>
          <w:rFonts w:ascii="Calibri" w:cs="Calibri" w:eastAsia="Calibri" w:hAnsi="Calibri"/>
          <w:b/>
          <w:bCs/>
          <w:sz w:val="21"/>
          <w:szCs w:val="21"/>
        </w:rPr>
        <w:t xml:space="preserve">wages</w:t>
      </w:r>
      <w:r>
        <w:rPr>
          <w:rFonts w:ascii="Calibri" w:cs="Calibri" w:eastAsia="Calibri" w:hAnsi="Calibri"/>
          <w:sz w:val="21"/>
          <w:szCs w:val="21"/>
        </w:rPr>
        <w:t xml:space="preserve">, which are remuneration in money due to an employee in respect of employment.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1734"/>
        <w:gridCol w:w="3471"/>
      </w:tblGrid>
      <w:tr>
        <w:trPr>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Wages?</w:t>
            </w:r>
          </w:p>
        </w:tc>
        <w:tc>
          <w:tcPr>
            <w:tcW w:type="dxa" w:w="34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Ordinary or Additional</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Basic salary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Fixed monthly allowances — transport, meal, handphone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Overtime pay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Commission paid monthly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bonus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Wage Supplement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pay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Commission paid annually or at longer intervals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Wages</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Reimbursement of actual expenses incurred for work</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benefits for loss of employment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no</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Take advice on the specific payment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[Benefits in kind]</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[Depends]</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treatment of each benefit</w:t>
            </w:r>
          </w:p>
        </w:tc>
      </w:tr>
      <w:t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Employer contribution itself</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347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Ordinary Wages</w:t>
      </w:r>
      <w:r>
        <w:rPr>
          <w:rFonts w:ascii="Calibri" w:cs="Calibri" w:eastAsia="Calibri" w:hAnsi="Calibri"/>
          <w:sz w:val="21"/>
          <w:szCs w:val="21"/>
        </w:rPr>
        <w:t xml:space="preserve"> are wages due or granted wholly and exclusively in respect of the month and payable before the due date for that month. </w:t>
      </w:r>
      <w:r>
        <w:rPr>
          <w:rFonts w:ascii="Calibri" w:cs="Calibri" w:eastAsia="Calibri" w:hAnsi="Calibri"/>
          <w:b/>
          <w:bCs/>
          <w:sz w:val="21"/>
          <w:szCs w:val="21"/>
        </w:rPr>
        <w:t xml:space="preserve">Additional Wages</w:t>
      </w:r>
      <w:r>
        <w:rPr>
          <w:rFonts w:ascii="Calibri" w:cs="Calibri" w:eastAsia="Calibri" w:hAnsi="Calibri"/>
          <w:sz w:val="21"/>
          <w:szCs w:val="21"/>
        </w:rPr>
        <w:t xml:space="preserve"> are wages not classified as Ordinary Wages, such as annual bonus.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Contributions on Ordinary Wages are subject to a </w:t>
      </w:r>
      <w:r>
        <w:rPr>
          <w:rFonts w:ascii="Calibri" w:cs="Calibri" w:eastAsia="Calibri" w:hAnsi="Calibri"/>
          <w:b/>
          <w:bCs/>
          <w:sz w:val="21"/>
          <w:szCs w:val="21"/>
        </w:rPr>
        <w:t xml:space="preserve">monthly ceiling</w:t>
      </w:r>
      <w:r>
        <w:rPr>
          <w:rFonts w:ascii="Calibri" w:cs="Calibri" w:eastAsia="Calibri" w:hAnsi="Calibri"/>
          <w:sz w:val="21"/>
          <w:szCs w:val="21"/>
        </w:rPr>
        <w:t xml:space="preserve">, and contributions on Additional Wages to an </w:t>
      </w:r>
      <w:r>
        <w:rPr>
          <w:rFonts w:ascii="Calibri" w:cs="Calibri" w:eastAsia="Calibri" w:hAnsi="Calibri"/>
          <w:b/>
          <w:bCs/>
          <w:sz w:val="21"/>
          <w:szCs w:val="21"/>
        </w:rPr>
        <w:t xml:space="preserve">annual ceiling</w:t>
      </w:r>
      <w:r>
        <w:rPr>
          <w:rFonts w:ascii="Calibri" w:cs="Calibri" w:eastAsia="Calibri" w:hAnsi="Calibri"/>
          <w:sz w:val="21"/>
          <w:szCs w:val="21"/>
        </w:rPr>
        <w:t xml:space="preserve"> computed by reference to total Ordinary Wages for the year. </w:t>
      </w:r>
      <w:r>
        <w:rPr>
          <w:rFonts w:ascii="Calibri" w:cs="Calibri" w:eastAsia="Calibri" w:hAnsi="Calibri"/>
          <w:i/>
          <w:iCs/>
          <w:sz w:val="21"/>
          <w:szCs w:val="21"/>
        </w:rPr>
        <w:t xml:space="preserve">Both ceilings have been revised in recent years and the Ordinary Wage ceiling has been rising in phases — confirm the current figures.</w:t>
      </w:r>
    </w:p>
    <w:p>
      <w:pPr>
        <w:keepNext/>
        <w:spacing w:after="120" w:before="280"/>
        <w:outlineLvl w:val="0"/>
      </w:pPr>
      <w:r>
        <w:rPr>
          <w:rFonts w:ascii="Calibri" w:cs="Calibri" w:eastAsia="Calibri" w:hAnsi="Calibri"/>
          <w:b/>
          <w:bCs/>
          <w:color w:val="14161B"/>
          <w:sz w:val="22"/>
          <w:szCs w:val="22"/>
        </w:rPr>
        <w:t xml:space="preserve">3. RATES</w:t>
      </w:r>
    </w:p>
    <w:p>
      <w:pPr>
        <w:spacing w:after="120" w:before="0" w:line="276"/>
        <w:jc w:val="both"/>
      </w:pPr>
      <w:r>
        <w:rPr>
          <w:rFonts w:ascii="Calibri" w:cs="Calibri" w:eastAsia="Calibri" w:hAnsi="Calibri"/>
          <w:i/>
          <w:iCs/>
          <w:sz w:val="21"/>
          <w:szCs w:val="21"/>
        </w:rPr>
        <w:t xml:space="preserve">Rates vary by age band and by residency status. Rates for older workers have been increased in phases. Complete this table from the current published rates before each payroll year — do not carry forward.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1638"/>
        <w:gridCol w:w="1638"/>
        <w:gridCol w:w="1445"/>
        <w:gridCol w:w="2026"/>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Age band</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Employer (%)</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Employee (%)</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Total (%)</w:t>
            </w:r>
          </w:p>
        </w:tc>
        <w:tc>
          <w:tcPr>
            <w:tcW w:type="dxa" w:w="202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Confirmed for </w:t>
            </w:r>
            <w:r>
              <w:rPr>
                <w:rFonts w:ascii="Calibri" w:cs="Calibri" w:eastAsia="Calibri" w:hAnsi="Calibri"/>
                <w:b/>
                <w:bCs/>
                <w:sz w:val="18"/>
                <w:szCs w:val="18"/>
              </w:rPr>
              <w:t xml:space="preserve">[YEAR]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55 and below</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55 to 60</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60 to 65</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65 to 70</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Above 70</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resident — year 1</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resident — year 2</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age band applied is determined by the employee’s age in the month. Where an employee crosses a band during the year, the rate changes from the relevant month.</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employee share is deducted from wages; the employer share is a cost to the Company and is not deducted from the employee.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Contributions are computed on the total wages and apportioned; the employee share is rounded in accordance with the prescribed rules.</w:t>
      </w:r>
    </w:p>
    <w:p>
      <w:pPr>
        <w:keepNext/>
        <w:spacing w:after="120" w:before="280"/>
        <w:outlineLvl w:val="0"/>
      </w:pPr>
      <w:r>
        <w:rPr>
          <w:rFonts w:ascii="Calibri" w:cs="Calibri" w:eastAsia="Calibri" w:hAnsi="Calibri"/>
          <w:b/>
          <w:bCs/>
          <w:color w:val="14161B"/>
          <w:sz w:val="22"/>
          <w:szCs w:val="22"/>
        </w:rPr>
        <w:t xml:space="preserve">4. PAYMENT AND FILING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Contributions must be paid by the </w:t>
      </w:r>
      <w:r>
        <w:rPr>
          <w:rFonts w:ascii="Calibri" w:cs="Calibri" w:eastAsia="Calibri" w:hAnsi="Calibri"/>
          <w:b/>
          <w:bCs/>
          <w:sz w:val="21"/>
          <w:szCs w:val="21"/>
        </w:rPr>
        <w:t xml:space="preserve">14th day</w:t>
      </w:r>
      <w:r>
        <w:rPr>
          <w:rFonts w:ascii="Calibri" w:cs="Calibri" w:eastAsia="Calibri" w:hAnsi="Calibri"/>
          <w:sz w:val="21"/>
          <w:szCs w:val="21"/>
        </w:rPr>
        <w:t xml:space="preserve"> of the month following the month in which wages were paid. Where the 14th falls on a weekend or public holiday, the deadline is the next working day.</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Late payment attracts </w:t>
      </w:r>
      <w:r>
        <w:rPr>
          <w:rFonts w:ascii="Calibri" w:cs="Calibri" w:eastAsia="Calibri" w:hAnsi="Calibri"/>
          <w:b/>
          <w:bCs/>
          <w:sz w:val="21"/>
          <w:szCs w:val="21"/>
        </w:rPr>
        <w:t xml:space="preserve">interest</w:t>
      </w:r>
      <w:r>
        <w:rPr>
          <w:rFonts w:ascii="Calibri" w:cs="Calibri" w:eastAsia="Calibri" w:hAnsi="Calibri"/>
          <w:sz w:val="21"/>
          <w:szCs w:val="21"/>
        </w:rPr>
        <w:t xml:space="preserve">, charged from the first day of the month following the due date, subject to a minimum amount. Interest is not waived as a matter of course.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Company will submit contribution details through the prescribed electronic channel, and will retain the acknowledgement.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w:t>
      </w:r>
      <w:r>
        <w:rPr>
          <w:rFonts w:ascii="Calibri" w:cs="Calibri" w:eastAsia="Calibri" w:hAnsi="Calibri"/>
          <w:b/>
          <w:bCs/>
          <w:sz w:val="21"/>
          <w:szCs w:val="21"/>
        </w:rPr>
        <w:t xml:space="preserve">Skills Development Levy</w:t>
      </w:r>
      <w:r>
        <w:rPr>
          <w:rFonts w:ascii="Calibri" w:cs="Calibri" w:eastAsia="Calibri" w:hAnsi="Calibri"/>
          <w:sz w:val="21"/>
          <w:szCs w:val="21"/>
        </w:rPr>
        <w:t xml:space="preserve"> is payable on all employees rendering services in Singapore, including work pass holders, at the prescribed rate subject to the prescribed floor and cap.</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Where a foreign worker levy applies, it is payable monthly for the period the pass is in force, including any period of leave or absence.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MONTHLY PAYROLL CONTROLS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469"/>
        <w:gridCol w:w="4433"/>
        <w:gridCol w:w="1255"/>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Control</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c>
          <w:tcPr>
            <w:tcW w:type="dxa" w:w="1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Residency status confirmed for every employee against current records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Contributing for a pass holder is an offence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New permanent residents identified and contributions started from the status date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Missed starts create arrears with interest</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Graduated rate applied correctly for permanent residents in the first two years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common source of both over and under payment</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Age bands recalculated for employees crossing a band this month</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Rates step at each band</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Rates checked against the current published table for the year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Rates have changed in successive years</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Ordinary Wage ceiling applied at the current figure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ceiling has been rising in phases</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Additional Wage ceiling computed and monitored year to date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Bonus months are where this is breached</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 wage components classified as Ordinary or Additional</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Misclassification distorts both ceilings</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Reimbursements excluded; allowances included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Fixed allowances are wages; genuine reimbursements are not</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 contribution shown for any work pass holder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every payroll, not only at setup</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Skills Development Levy computed for </w:t>
            </w:r>
            <w:r>
              <w:rPr>
                <w:rFonts w:ascii="Calibri" w:cs="Calibri" w:eastAsia="Calibri" w:hAnsi="Calibri"/>
                <w:b/>
                <w:bCs/>
                <w:sz w:val="17"/>
                <w:szCs w:val="17"/>
              </w:rPr>
              <w:t xml:space="preserve">all</w:t>
            </w:r>
            <w:r>
              <w:rPr>
                <w:rFonts w:ascii="Calibri" w:cs="Calibri" w:eastAsia="Calibri" w:hAnsi="Calibri"/>
                <w:sz w:val="17"/>
                <w:szCs w:val="17"/>
              </w:rPr>
              <w:t xml:space="preserve"> employees including pass holders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omitted for foreign staff</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Foreign worker levy reconciled to active passes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Levy continues while the pass is in force</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made by the 14th and acknowledgement retained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 accrues automatically</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share shown as a deduction on the itemised payslip</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payslip requirement</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Leavers processed — final month contributions made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Missed final-month contributions are common</w:t>
            </w:r>
          </w:p>
        </w:tc>
        <w:tc>
          <w:tcPr>
            <w:tcW w:type="dxa" w:w="125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60"/>
      </w:pPr>
    </w:p>
    <w:p>
      <w:pPr>
        <w:keepNext/>
        <w:spacing w:after="120" w:before="280"/>
        <w:outlineLvl w:val="0"/>
      </w:pPr>
      <w:r>
        <w:rPr>
          <w:rFonts w:ascii="Calibri" w:cs="Calibri" w:eastAsia="Calibri" w:hAnsi="Calibri"/>
          <w:b/>
          <w:bCs/>
          <w:color w:val="14161B"/>
          <w:sz w:val="22"/>
          <w:szCs w:val="22"/>
        </w:rPr>
        <w:t xml:space="preserve">6. COMMON ERRORS AND HOW THEY SURFACE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4433"/>
        <w:gridCol w:w="2892"/>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Error</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How it usually happens</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Consequence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Contributing for a pass holder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Regional payroll system configured for another country where equivalent contributions are payable for foreign staff</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 offence; refund process; system rework</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contributing for a new permanent resident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Status change notified to human resources but not to payroll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Arrears with interest, backdated to the status date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Wrong wage base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Allowances treated as reimbursements; commission misclassified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Under-contribution across many months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Additional Wage ceiling breached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Bonus paid without checking year-to-date Ordinary Wages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Over-contribution, or under-contribution the following year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Stale rates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Prior year configuration carried forward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Under-contribution for older workers where rates rose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Late payment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Payment scheduled with other month-end payments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Interest, charged automatically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Missed final month</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Leaver removed from payroll before the last contribution</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Arrears; employee complaint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Skills Development Levy omitted for foreign staff</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Assumed to follow the same rule as contributions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Arrears; the levy applies to all employees</w:t>
            </w:r>
          </w:p>
        </w:tc>
      </w:tr>
    </w:tbl>
    <w:p>
      <w:pPr>
        <w:spacing w:after="180"/>
      </w:pPr>
    </w:p>
    <w:p>
      <w:pPr>
        <w:keepNext/>
        <w:spacing w:after="120" w:before="280"/>
        <w:outlineLvl w:val="0"/>
      </w:pPr>
      <w:r>
        <w:rPr>
          <w:rFonts w:ascii="Calibri" w:cs="Calibri" w:eastAsia="Calibri" w:hAnsi="Calibri"/>
          <w:b/>
          <w:bCs/>
          <w:color w:val="14161B"/>
          <w:sz w:val="22"/>
          <w:szCs w:val="22"/>
        </w:rPr>
        <w:t xml:space="preserve">7. NOMINATIONS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Central Provident Fund savings are </w:t>
      </w:r>
      <w:r>
        <w:rPr>
          <w:rFonts w:ascii="Calibri" w:cs="Calibri" w:eastAsia="Calibri" w:hAnsi="Calibri"/>
          <w:b/>
          <w:bCs/>
          <w:sz w:val="21"/>
          <w:szCs w:val="21"/>
        </w:rPr>
        <w:t xml:space="preserve">not</w:t>
      </w:r>
      <w:r>
        <w:rPr>
          <w:rFonts w:ascii="Calibri" w:cs="Calibri" w:eastAsia="Calibri" w:hAnsi="Calibri"/>
          <w:sz w:val="21"/>
          <w:szCs w:val="21"/>
        </w:rPr>
        <w:t xml:space="preserve"> distributed under a will. They are distributed to nominees under a nomination made with the Board, or, where there is no nomination, under the intestacy or inheritance rules through the Public Trustee.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The Company will remind employees at induction, and annually, to make or review a nomination directly with the Board. </w:t>
      </w:r>
      <w:r>
        <w:rPr>
          <w:rFonts w:ascii="Calibri" w:cs="Calibri" w:eastAsia="Calibri" w:hAnsi="Calibri"/>
          <w:i/>
          <w:iCs/>
          <w:sz w:val="21"/>
          <w:szCs w:val="21"/>
        </w:rPr>
        <w:t xml:space="preserve">The employer does not hold or administer these nominations — the employee makes them themselves.</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Employees should be reminded that marriage revokes an existing nomination and that a fresh nomination is needed.</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Never contribute for a work pass holder</w:t>
      </w:r>
    </w:p>
    <w:p>
      <w:pPr>
        <w:spacing w:after="60" w:line="264"/>
        <w:jc w:val="both"/>
      </w:pPr>
      <w:r>
        <w:rPr>
          <w:rFonts w:ascii="Calibri" w:cs="Calibri" w:eastAsia="Calibri" w:hAnsi="Calibri"/>
          <w:sz w:val="19"/>
          <w:szCs w:val="19"/>
        </w:rPr>
        <w:t xml:space="preserve">Contributions are payable only for Singapore citizens and permanent residents. Making them for an Employment Pass, S Pass or Work Permit holder is an offence. This is the reverse of the position in several neighbouring jurisdictions, and regional payroll systems configured for those countries produce the error automatically. Control 10 checks it every payroll, not only at setup, because a status field can be changed by anyone.</w:t>
      </w:r>
    </w:p>
    <w:p>
      <w:pPr>
        <w:keepNext/>
        <w:spacing w:after="40" w:before="140"/>
      </w:pPr>
      <w:r>
        <w:rPr>
          <w:rFonts w:ascii="Calibri" w:cs="Calibri" w:eastAsia="Calibri" w:hAnsi="Calibri"/>
          <w:b/>
          <w:bCs/>
          <w:color w:val="14161B"/>
          <w:sz w:val="20"/>
          <w:szCs w:val="20"/>
        </w:rPr>
        <w:t xml:space="preserve">The permanent residence transition is where arrears start</w:t>
      </w:r>
    </w:p>
    <w:p>
      <w:pPr>
        <w:spacing w:after="60" w:line="264"/>
        <w:jc w:val="both"/>
      </w:pPr>
      <w:r>
        <w:rPr>
          <w:rFonts w:ascii="Calibri" w:cs="Calibri" w:eastAsia="Calibri" w:hAnsi="Calibri"/>
          <w:sz w:val="19"/>
          <w:szCs w:val="19"/>
        </w:rPr>
        <w:t xml:space="preserve">When an employee becomes a permanent resident, contributions begin from the date of status change, initially at graduated rates for the first two years, with an option to contribute at full rates by joint election. The failure mode is that human resources learns of the status change and payroll does not. Arrears accrue with interest from the status date, not from discovery.</w:t>
      </w:r>
    </w:p>
    <w:p>
      <w:pPr>
        <w:keepNext/>
        <w:spacing w:after="40" w:before="140"/>
      </w:pPr>
      <w:r>
        <w:rPr>
          <w:rFonts w:ascii="Calibri" w:cs="Calibri" w:eastAsia="Calibri" w:hAnsi="Calibri"/>
          <w:b/>
          <w:bCs/>
          <w:color w:val="14161B"/>
          <w:sz w:val="20"/>
          <w:szCs w:val="20"/>
        </w:rPr>
        <w:t xml:space="preserve">Two ceilings, working differently</w:t>
      </w:r>
    </w:p>
    <w:p>
      <w:pPr>
        <w:spacing w:after="60" w:line="264"/>
        <w:jc w:val="both"/>
      </w:pPr>
      <w:r>
        <w:rPr>
          <w:rFonts w:ascii="Calibri" w:cs="Calibri" w:eastAsia="Calibri" w:hAnsi="Calibri"/>
          <w:sz w:val="19"/>
          <w:szCs w:val="19"/>
        </w:rPr>
        <w:t xml:space="preserve">The Ordinary Wage ceiling caps contributions on monthly wages. The Additional Wage ceiling caps contributions on bonus and similar payments, computed by reference to the year’s Ordinary Wages. The Ordinary Wage ceiling has been rising in phases. Employers who monitor only the monthly ceiling get bonus months wrong.</w:t>
      </w:r>
    </w:p>
    <w:p>
      <w:pPr>
        <w:keepNext/>
        <w:spacing w:after="40" w:before="140"/>
      </w:pPr>
      <w:r>
        <w:rPr>
          <w:rFonts w:ascii="Calibri" w:cs="Calibri" w:eastAsia="Calibri" w:hAnsi="Calibri"/>
          <w:b/>
          <w:bCs/>
          <w:color w:val="14161B"/>
          <w:sz w:val="20"/>
          <w:szCs w:val="20"/>
        </w:rPr>
        <w:t xml:space="preserve">Classify every wage component once, properly</w:t>
      </w:r>
    </w:p>
    <w:p>
      <w:pPr>
        <w:spacing w:after="60" w:line="264"/>
        <w:jc w:val="both"/>
      </w:pPr>
      <w:r>
        <w:rPr>
          <w:rFonts w:ascii="Calibri" w:cs="Calibri" w:eastAsia="Calibri" w:hAnsi="Calibri"/>
          <w:sz w:val="19"/>
          <w:szCs w:val="19"/>
        </w:rPr>
        <w:t xml:space="preserve">Whether an item is wages at all, and whether it is Ordinary or Additional, determines both the contribution and the ceiling calculation. Fixed allowances are wages; genuine reimbursements of expenses actually incurred are not. Labelling a fixed monthly payment a "reimbursement" to avoid contributions does not work and is exactly what an audit looks for.</w:t>
      </w:r>
    </w:p>
    <w:p>
      <w:pPr>
        <w:keepNext/>
        <w:spacing w:after="40" w:before="140"/>
      </w:pPr>
      <w:r>
        <w:rPr>
          <w:rFonts w:ascii="Calibri" w:cs="Calibri" w:eastAsia="Calibri" w:hAnsi="Calibri"/>
          <w:b/>
          <w:bCs/>
          <w:color w:val="14161B"/>
          <w:sz w:val="20"/>
          <w:szCs w:val="20"/>
        </w:rPr>
        <w:t xml:space="preserve">Rates change, particularly for older workers</w:t>
      </w:r>
    </w:p>
    <w:p>
      <w:pPr>
        <w:spacing w:after="60" w:line="264"/>
        <w:jc w:val="both"/>
      </w:pPr>
      <w:r>
        <w:rPr>
          <w:rFonts w:ascii="Calibri" w:cs="Calibri" w:eastAsia="Calibri" w:hAnsi="Calibri"/>
          <w:sz w:val="19"/>
          <w:szCs w:val="19"/>
        </w:rPr>
        <w:t xml:space="preserve">Contribution rates for employees above 55 have been increased in successive phases as part of a long-running programme. A payroll configuration carried forward from a prior year will under-contribute for those employees. Section 3 requires the rate table to be completed and confirmed for the year rather than assumed.</w:t>
      </w:r>
    </w:p>
    <w:p>
      <w:pPr>
        <w:keepNext/>
        <w:spacing w:after="40" w:before="140"/>
      </w:pPr>
      <w:r>
        <w:rPr>
          <w:rFonts w:ascii="Calibri" w:cs="Calibri" w:eastAsia="Calibri" w:hAnsi="Calibri"/>
          <w:b/>
          <w:bCs/>
          <w:color w:val="14161B"/>
          <w:sz w:val="20"/>
          <w:szCs w:val="20"/>
        </w:rPr>
        <w:t xml:space="preserve">The 14th is a hard deadline and interest is automatic</w:t>
      </w:r>
    </w:p>
    <w:p>
      <w:pPr>
        <w:spacing w:after="60" w:line="264"/>
        <w:jc w:val="both"/>
      </w:pPr>
      <w:r>
        <w:rPr>
          <w:rFonts w:ascii="Calibri" w:cs="Calibri" w:eastAsia="Calibri" w:hAnsi="Calibri"/>
          <w:sz w:val="19"/>
          <w:szCs w:val="19"/>
        </w:rPr>
        <w:t xml:space="preserve">Interest on late contributions runs from the month after the due date and is not waived as a matter of routine. Scheduling the payment with general month-end creditor runs is how employers end up a few days late every month for years.</w:t>
      </w:r>
    </w:p>
    <w:p>
      <w:pPr>
        <w:keepNext/>
        <w:spacing w:after="40" w:before="140"/>
      </w:pPr>
      <w:r>
        <w:rPr>
          <w:rFonts w:ascii="Calibri" w:cs="Calibri" w:eastAsia="Calibri" w:hAnsi="Calibri"/>
          <w:b/>
          <w:bCs/>
          <w:color w:val="14161B"/>
          <w:sz w:val="20"/>
          <w:szCs w:val="20"/>
        </w:rPr>
        <w:t xml:space="preserve">Skills Development Levy applies to everyone</w:t>
      </w:r>
    </w:p>
    <w:p>
      <w:pPr>
        <w:spacing w:after="60" w:line="264"/>
        <w:jc w:val="both"/>
      </w:pPr>
      <w:r>
        <w:rPr>
          <w:rFonts w:ascii="Calibri" w:cs="Calibri" w:eastAsia="Calibri" w:hAnsi="Calibri"/>
          <w:sz w:val="19"/>
          <w:szCs w:val="19"/>
        </w:rPr>
        <w:t xml:space="preserve">Unlike contributions, the levy is payable for all employees rendering services in Singapore, including work pass holders, at the prescribed rate subject to a floor and cap. Employers who correctly exclude pass holders from contributions frequently exclude them from the levy too, which is wrong.</w:t>
      </w:r>
    </w:p>
    <w:p>
      <w:pPr>
        <w:keepNext/>
        <w:spacing w:after="40" w:before="140"/>
      </w:pPr>
      <w:r>
        <w:rPr>
          <w:rFonts w:ascii="Calibri" w:cs="Calibri" w:eastAsia="Calibri" w:hAnsi="Calibri"/>
          <w:b/>
          <w:bCs/>
          <w:color w:val="14161B"/>
          <w:sz w:val="20"/>
          <w:szCs w:val="20"/>
        </w:rPr>
        <w:t xml:space="preserve">Levy continues while the pass is in force</w:t>
      </w:r>
    </w:p>
    <w:p>
      <w:pPr>
        <w:spacing w:after="60" w:line="264"/>
        <w:jc w:val="both"/>
      </w:pPr>
      <w:r>
        <w:rPr>
          <w:rFonts w:ascii="Calibri" w:cs="Calibri" w:eastAsia="Calibri" w:hAnsi="Calibri"/>
          <w:sz w:val="19"/>
          <w:szCs w:val="19"/>
        </w:rPr>
        <w:t xml:space="preserve">Foreign worker levy is payable for the period the pass is valid, including periods of leave, absence or notice. Cancelling the pass promptly on termination stops the levy; leaving it running does not.</w:t>
      </w:r>
    </w:p>
    <w:p>
      <w:pPr>
        <w:keepNext/>
        <w:spacing w:after="40" w:before="140"/>
      </w:pPr>
      <w:r>
        <w:rPr>
          <w:rFonts w:ascii="Calibri" w:cs="Calibri" w:eastAsia="Calibri" w:hAnsi="Calibri"/>
          <w:b/>
          <w:bCs/>
          <w:color w:val="14161B"/>
          <w:sz w:val="20"/>
          <w:szCs w:val="20"/>
        </w:rPr>
        <w:t xml:space="preserve">Directors need care</w:t>
      </w:r>
    </w:p>
    <w:p>
      <w:pPr>
        <w:spacing w:after="60" w:line="264"/>
        <w:jc w:val="both"/>
      </w:pPr>
      <w:r>
        <w:rPr>
          <w:rFonts w:ascii="Calibri" w:cs="Calibri" w:eastAsia="Calibri" w:hAnsi="Calibri"/>
          <w:sz w:val="19"/>
          <w:szCs w:val="19"/>
        </w:rPr>
        <w:t xml:space="preserve">Director’s fees are generally not wages, but salary paid to a director who is also an employee is. Where a person receives both, the treatment differs by component. Take advice where the arrangement is unusual rather than defaulting either way.</w:t>
      </w:r>
    </w:p>
    <w:p>
      <w:pPr>
        <w:keepNext/>
        <w:spacing w:after="40" w:before="140"/>
      </w:pPr>
      <w:r>
        <w:rPr>
          <w:rFonts w:ascii="Calibri" w:cs="Calibri" w:eastAsia="Calibri" w:hAnsi="Calibri"/>
          <w:b/>
          <w:bCs/>
          <w:color w:val="14161B"/>
          <w:sz w:val="20"/>
          <w:szCs w:val="20"/>
        </w:rPr>
        <w:t xml:space="preserve">Part-time and casual staff are included</w:t>
      </w:r>
    </w:p>
    <w:p>
      <w:pPr>
        <w:spacing w:after="60" w:line="264"/>
        <w:jc w:val="both"/>
      </w:pPr>
      <w:r>
        <w:rPr>
          <w:rFonts w:ascii="Calibri" w:cs="Calibri" w:eastAsia="Calibri" w:hAnsi="Calibri"/>
          <w:sz w:val="19"/>
          <w:szCs w:val="19"/>
        </w:rPr>
        <w:t xml:space="preserve">Where a part-time, casual or temporary employee is a citizen or permanent resident, contributions are payable regardless of hours worked or the brevity of the engagement. Small employers frequently miss short engagements entirely.</w:t>
      </w:r>
    </w:p>
    <w:p>
      <w:pPr>
        <w:keepNext/>
        <w:spacing w:after="40" w:before="140"/>
      </w:pPr>
      <w:r>
        <w:rPr>
          <w:rFonts w:ascii="Calibri" w:cs="Calibri" w:eastAsia="Calibri" w:hAnsi="Calibri"/>
          <w:b/>
          <w:bCs/>
          <w:color w:val="14161B"/>
          <w:sz w:val="20"/>
          <w:szCs w:val="20"/>
        </w:rPr>
        <w:t xml:space="preserve">The final month is often missed</w:t>
      </w:r>
    </w:p>
    <w:p>
      <w:pPr>
        <w:spacing w:after="60" w:line="264"/>
        <w:jc w:val="both"/>
      </w:pPr>
      <w:r>
        <w:rPr>
          <w:rFonts w:ascii="Calibri" w:cs="Calibri" w:eastAsia="Calibri" w:hAnsi="Calibri"/>
          <w:sz w:val="19"/>
          <w:szCs w:val="19"/>
        </w:rPr>
        <w:t xml:space="preserve">Removing a leaver from payroll before the last contribution is processed is a recurring error that surfaces as an employee complaint. Control 15 exists for that reason.</w:t>
      </w:r>
    </w:p>
    <w:p>
      <w:pPr>
        <w:keepNext/>
        <w:spacing w:after="40" w:before="140"/>
      </w:pPr>
      <w:r>
        <w:rPr>
          <w:rFonts w:ascii="Calibri" w:cs="Calibri" w:eastAsia="Calibri" w:hAnsi="Calibri"/>
          <w:b/>
          <w:bCs/>
          <w:color w:val="14161B"/>
          <w:sz w:val="20"/>
          <w:szCs w:val="20"/>
        </w:rPr>
        <w:t xml:space="preserve">Nominations are the employee’s to make</w:t>
      </w:r>
    </w:p>
    <w:p>
      <w:pPr>
        <w:spacing w:after="60" w:line="264"/>
        <w:jc w:val="both"/>
      </w:pPr>
      <w:r>
        <w:rPr>
          <w:rFonts w:ascii="Calibri" w:cs="Calibri" w:eastAsia="Calibri" w:hAnsi="Calibri"/>
          <w:sz w:val="19"/>
          <w:szCs w:val="19"/>
        </w:rPr>
        <w:t xml:space="preserve">Savings do not pass under a will. Without a nomination, distribution goes through the intestacy or inheritance rules and the Public Trustee, which is slow and distressing for a family. The employer cannot make the nomination but can and should remind employees to — particularly on marriage, which revokes an existing nomination.</w:t>
      </w:r>
    </w:p>
    <w:p>
      <w:pPr>
        <w:keepNext/>
        <w:spacing w:after="40" w:before="140"/>
      </w:pPr>
      <w:r>
        <w:rPr>
          <w:rFonts w:ascii="Calibri" w:cs="Calibri" w:eastAsia="Calibri" w:hAnsi="Calibri"/>
          <w:b/>
          <w:bCs/>
          <w:color w:val="14161B"/>
          <w:sz w:val="20"/>
          <w:szCs w:val="20"/>
        </w:rPr>
        <w:t xml:space="preserve">Voluntary contributions and additional schemes</w:t>
      </w:r>
    </w:p>
    <w:p>
      <w:pPr>
        <w:spacing w:after="60" w:line="264"/>
        <w:jc w:val="both"/>
      </w:pPr>
      <w:r>
        <w:rPr>
          <w:rFonts w:ascii="Calibri" w:cs="Calibri" w:eastAsia="Calibri" w:hAnsi="Calibri"/>
          <w:sz w:val="19"/>
          <w:szCs w:val="19"/>
        </w:rPr>
        <w:t xml:space="preserve">Employees may make voluntary contributions, and various schemes affect how savings are allocated across accounts. These are matters between the employee and the Board; the employer’s role is limited to the mandatory contributions unless a specific arrangement is agreed.</w:t>
      </w:r>
    </w:p>
    <w:p>
      <w:pPr>
        <w:keepNext/>
        <w:spacing w:after="40" w:before="140"/>
      </w:pPr>
      <w:r>
        <w:rPr>
          <w:rFonts w:ascii="Calibri" w:cs="Calibri" w:eastAsia="Calibri" w:hAnsi="Calibri"/>
          <w:b/>
          <w:bCs/>
          <w:color w:val="14161B"/>
          <w:sz w:val="20"/>
          <w:szCs w:val="20"/>
        </w:rPr>
        <w:t xml:space="preserve">Keep the acknowledgements</w:t>
      </w:r>
    </w:p>
    <w:p>
      <w:pPr>
        <w:spacing w:after="60" w:line="264"/>
        <w:jc w:val="both"/>
      </w:pPr>
      <w:r>
        <w:rPr>
          <w:rFonts w:ascii="Calibri" w:cs="Calibri" w:eastAsia="Calibri" w:hAnsi="Calibri"/>
          <w:sz w:val="19"/>
          <w:szCs w:val="19"/>
        </w:rPr>
        <w:t xml:space="preserve">Retain submission acknowledgements and payment records for the prescribed period. Where an arrears assessment is raised, the contemporaneous record of what was submitted and when is what resolves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Contribution rates, age bands, the Ordinary and Additional Wage ceilings, graduated rates for new permanent residents, the Skills Development Levy rate and foreign worker levy rates all change, in some cases annually — confirm every figure with the Central Provident Fund Board and the relevant agency before the first payroll of each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2026-08-22T06:55:28.890Z</dcterms:created>
  <dcterms:modified xsi:type="dcterms:W3CDTF">2026-08-22T06:55:28.890Z</dcterms:modified>
</cp:coreProperties>
</file>

<file path=docProps/custom.xml><?xml version="1.0" encoding="utf-8"?>
<Properties xmlns="http://schemas.openxmlformats.org/officeDocument/2006/custom-properties" xmlns:vt="http://schemas.openxmlformats.org/officeDocument/2006/docPropsVTypes"/>
</file>