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CORPORATE SECRETARIAL SERVICES</w:t>
      </w:r>
    </w:p>
    <w:p>
      <w:pPr>
        <w:spacing w:after="260"/>
        <w:jc w:val="center"/>
      </w:pPr>
      <w:r>
        <w:rPr>
          <w:rFonts w:ascii="Calibri" w:cs="Calibri" w:eastAsia="Calibri" w:hAnsi="Calibri"/>
          <w:i/>
          <w:iCs/>
          <w:color w:val="6E7480"/>
          <w:sz w:val="19"/>
          <w:szCs w:val="19"/>
        </w:rPr>
        <w:t xml:space="preserve">Registered office, company secretary and compliance support</w:t>
      </w:r>
    </w:p>
    <w:p>
      <w:pPr>
        <w:spacing w:after="180" w:before="0" w:line="276"/>
        <w:jc w:val="both"/>
      </w:pPr>
      <w:r>
        <w:rPr>
          <w:rFonts w:ascii="Calibri" w:cs="Calibri" w:eastAsia="Calibri" w:hAnsi="Calibri"/>
          <w:i/>
          <w:iCs/>
          <w:color w:val="6E7480"/>
          <w:sz w:val="21"/>
          <w:szCs w:val="21"/>
        </w:rPr>
        <w:t xml:space="preserve">The failure mode with these arrangements is not bad service — it is a gap between what the client assumes is covered and what the provider actually does. Annual controller verification notices, minute books and central register filings are the three items most often assumed to be included and most often not. The scope schedule exists to settle that in writing.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Provider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[PROVIDER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filing agent registration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Named company secretary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ordinarily resident in Singapore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 to be provided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at the address below — or No]</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Commencement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[12]</w:t>
            </w:r>
            <w:r>
              <w:rPr>
                <w:rFonts w:ascii="Calibri" w:cs="Calibri" w:eastAsia="Calibri" w:hAnsi="Calibri"/>
                <w:sz w:val="19"/>
                <w:szCs w:val="19"/>
              </w:rPr>
              <w:t xml:space="preserve"> months, renewing annually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 fee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r>
              <w:rPr>
                <w:rFonts w:ascii="Calibri" w:cs="Calibri" w:eastAsia="Calibri" w:hAnsi="Calibri"/>
                <w:sz w:val="19"/>
                <w:szCs w:val="19"/>
              </w:rPr>
              <w:t xml:space="preserve"> — covering the services in Schedule 1 only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Client contact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Provider contact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bl>
    <w:p>
      <w:pPr>
        <w:spacing w:after="180"/>
      </w:pPr>
    </w:p>
    <w:p>
      <w:pPr>
        <w:keepNext/>
        <w:spacing w:after="120" w:before="280"/>
        <w:outlineLvl w:val="0"/>
      </w:pPr>
      <w:r>
        <w:rPr>
          <w:rFonts w:ascii="Calibri" w:cs="Calibri" w:eastAsia="Calibri" w:hAnsi="Calibri"/>
          <w:b/>
          <w:bCs/>
          <w:color w:val="14161B"/>
          <w:sz w:val="22"/>
          <w:szCs w:val="22"/>
        </w:rPr>
        <w:t xml:space="preserve">1. APPOINTMENT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Client appoints the Provider to supply the services in Schedule 1, and the Provider accepts.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Provider shall procure that </w:t>
      </w:r>
      <w:r>
        <w:rPr>
          <w:rFonts w:ascii="Calibri" w:cs="Calibri" w:eastAsia="Calibri" w:hAnsi="Calibri"/>
          <w:b/>
          <w:bCs/>
          <w:sz w:val="21"/>
          <w:szCs w:val="21"/>
        </w:rPr>
        <w:t xml:space="preserve">[NAME]</w:t>
      </w:r>
      <w:r>
        <w:rPr>
          <w:rFonts w:ascii="Calibri" w:cs="Calibri" w:eastAsia="Calibri" w:hAnsi="Calibri"/>
          <w:sz w:val="21"/>
          <w:szCs w:val="21"/>
        </w:rPr>
        <w:t xml:space="preserve">, who is ordinarily resident in Singapore and qualified to act, is appointed </w:t>
      </w:r>
      <w:r>
        <w:rPr>
          <w:rFonts w:ascii="Calibri" w:cs="Calibri" w:eastAsia="Calibri" w:hAnsi="Calibri"/>
          <w:b/>
          <w:bCs/>
          <w:sz w:val="21"/>
          <w:szCs w:val="21"/>
        </w:rPr>
        <w:t xml:space="preserve">company secretary</w:t>
      </w:r>
      <w:r>
        <w:rPr>
          <w:rFonts w:ascii="Calibri" w:cs="Calibri" w:eastAsia="Calibri" w:hAnsi="Calibri"/>
          <w:sz w:val="21"/>
          <w:szCs w:val="21"/>
        </w:rPr>
        <w:t xml:space="preserve"> of the Client.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b/>
          <w:bCs/>
          <w:sz w:val="21"/>
          <w:szCs w:val="21"/>
        </w:rPr>
        <w:t xml:space="preserve">[Where registered office is provided]</w:t>
      </w:r>
      <w:r>
        <w:rPr>
          <w:rFonts w:ascii="Calibri" w:cs="Calibri" w:eastAsia="Calibri" w:hAnsi="Calibri"/>
          <w:sz w:val="21"/>
          <w:szCs w:val="21"/>
        </w:rPr>
        <w:t xml:space="preserve"> The Provider shall permit the Client to use </w:t>
      </w:r>
      <w:r>
        <w:rPr>
          <w:rFonts w:ascii="Calibri" w:cs="Calibri" w:eastAsia="Calibri" w:hAnsi="Calibri"/>
          <w:b/>
          <w:bCs/>
          <w:sz w:val="21"/>
          <w:szCs w:val="21"/>
        </w:rPr>
        <w:t xml:space="preserve">[ADDRESS]</w:t>
      </w:r>
      <w:r>
        <w:rPr>
          <w:rFonts w:ascii="Calibri" w:cs="Calibri" w:eastAsia="Calibri" w:hAnsi="Calibri"/>
          <w:sz w:val="21"/>
          <w:szCs w:val="21"/>
        </w:rPr>
        <w:t xml:space="preserve"> as its registered office, and shall ensure it is open and accessible to the public for the hours required.</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b/>
          <w:bCs/>
          <w:sz w:val="21"/>
          <w:szCs w:val="21"/>
        </w:rPr>
        <w:t xml:space="preserve">The Provider does not act as a director of the Client</w:t>
      </w:r>
      <w:r>
        <w:rPr>
          <w:rFonts w:ascii="Calibri" w:cs="Calibri" w:eastAsia="Calibri" w:hAnsi="Calibri"/>
          <w:sz w:val="21"/>
          <w:szCs w:val="21"/>
        </w:rPr>
        <w:t xml:space="preserve"> under this agreement. Any nominee director arrangement is separate and must be documented separately.</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The Provider is a </w:t>
      </w:r>
      <w:r>
        <w:rPr>
          <w:rFonts w:ascii="Calibri" w:cs="Calibri" w:eastAsia="Calibri" w:hAnsi="Calibri"/>
          <w:b/>
          <w:bCs/>
          <w:sz w:val="21"/>
          <w:szCs w:val="21"/>
        </w:rPr>
        <w:t xml:space="preserve">registered filing agent</w:t>
      </w:r>
      <w:r>
        <w:rPr>
          <w:rFonts w:ascii="Calibri" w:cs="Calibri" w:eastAsia="Calibri" w:hAnsi="Calibri"/>
          <w:sz w:val="21"/>
          <w:szCs w:val="21"/>
        </w:rPr>
        <w:t xml:space="preserve"> and shall maintain that registration throughout the term.</w:t>
      </w:r>
    </w:p>
    <w:p>
      <w:pPr>
        <w:keepNext/>
        <w:spacing w:after="120" w:before="280"/>
        <w:outlineLvl w:val="0"/>
      </w:pPr>
      <w:r>
        <w:rPr>
          <w:rFonts w:ascii="Calibri" w:cs="Calibri" w:eastAsia="Calibri" w:hAnsi="Calibri"/>
          <w:b/>
          <w:bCs/>
          <w:color w:val="14161B"/>
          <w:sz w:val="22"/>
          <w:szCs w:val="22"/>
        </w:rPr>
        <w:t xml:space="preserve">2. CLIENT OBLIGATIONS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Client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provide complete and accurate information, promptly, including on any change to directors, shareholders, controllers, addresses or the business;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provide the identification and verification documents the Provider requires for customer due diligence, and update them on request;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notify the Provider of any transaction, resolution or event requiring a filing, </w:t>
      </w:r>
      <w:r>
        <w:rPr>
          <w:rFonts w:ascii="Calibri" w:cs="Calibri" w:eastAsia="Calibri" w:hAnsi="Calibri"/>
          <w:b/>
          <w:bCs/>
          <w:sz w:val="21"/>
          <w:szCs w:val="21"/>
        </w:rPr>
        <w:t xml:space="preserve">before</w:t>
      </w:r>
      <w:r>
        <w:rPr>
          <w:rFonts w:ascii="Calibri" w:cs="Calibri" w:eastAsia="Calibri" w:hAnsi="Calibri"/>
          <w:sz w:val="21"/>
          <w:szCs w:val="21"/>
        </w:rPr>
        <w:t xml:space="preserve"> it occurs where possible;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approve documents and provide signatures within the time needed to meet statutory deadlines;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collect and respond to correspondence received at the registered office;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pay fees when due.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Where the Client does not provide information in time, the Provider cannot meet a deadline on the Client’s behalf. Responsibility for the underlying obligation remains with the Client and its directors in any event — see Clause 4.</w:t>
      </w:r>
    </w:p>
    <w:p>
      <w:pPr>
        <w:keepNext/>
        <w:spacing w:after="120" w:before="280"/>
        <w:outlineLvl w:val="0"/>
      </w:pPr>
      <w:r>
        <w:rPr>
          <w:rFonts w:ascii="Calibri" w:cs="Calibri" w:eastAsia="Calibri" w:hAnsi="Calibri"/>
          <w:b/>
          <w:bCs/>
          <w:color w:val="14161B"/>
          <w:sz w:val="22"/>
          <w:szCs w:val="22"/>
        </w:rPr>
        <w:t xml:space="preserve">3. SCOPE — INCLUDED AND NOT INCLUDED</w:t>
      </w:r>
    </w:p>
    <w:p>
      <w:pPr>
        <w:spacing w:after="120" w:before="0" w:line="276"/>
        <w:jc w:val="both"/>
      </w:pPr>
      <w:r>
        <w:rPr>
          <w:rFonts w:ascii="Calibri" w:cs="Calibri" w:eastAsia="Calibri" w:hAnsi="Calibri"/>
          <w:i/>
          <w:iCs/>
          <w:sz w:val="21"/>
          <w:szCs w:val="21"/>
        </w:rPr>
        <w:t xml:space="preserve">Complete this schedule properly. It is the entire point of the document.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782"/>
        <w:gridCol w:w="2120"/>
        <w:gridCol w:w="1351"/>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7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Service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Included in the annual fee?</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If not, fee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Named company secretary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Registered office address and mail handling</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Maintaining statutory registers — directors, secretaries, charges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Maintaining the register of registrable controllers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Sending annual controller verification notices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Central register filings — RORC, ROND, RONS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Registers of nominee directors and nominee shareholders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Maintaining the minute book</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Preparing routine board and members’ resolutions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Convening and minuting the annual general meeting, or AGM-replacement resolutions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Filing the annual return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Filing financial statements in the required format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Director and secretary appointment and cessation filings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allotments and returns of allotment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transfers and stamping</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16</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Charge registration and satisfaction filings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17</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Constitutional amendments and special resolution filings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18</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Certified copies and company searches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19</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Bookkeeping, accounts preparation and tax filings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[Usually not]</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20</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Payroll, CPF and employment income reporting</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[Usually not]</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GST registration and returns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[Usually not]</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pass applications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[Usually not]</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Nominee director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Separate agreement</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RESPONSIBILITY REMAINS WITH THE CLIENT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statutory obligations of the Client and its directors are </w:t>
      </w:r>
      <w:r>
        <w:rPr>
          <w:rFonts w:ascii="Calibri" w:cs="Calibri" w:eastAsia="Calibri" w:hAnsi="Calibri"/>
          <w:b/>
          <w:bCs/>
          <w:sz w:val="21"/>
          <w:szCs w:val="21"/>
        </w:rPr>
        <w:t xml:space="preserve">not transferred</w:t>
      </w:r>
      <w:r>
        <w:rPr>
          <w:rFonts w:ascii="Calibri" w:cs="Calibri" w:eastAsia="Calibri" w:hAnsi="Calibri"/>
          <w:sz w:val="21"/>
          <w:szCs w:val="21"/>
        </w:rPr>
        <w:t xml:space="preserve"> by this agreement. The Provider assists; the directors remain responsible.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Provider is not responsible for a failure to meet a deadline caused by the Client’s late or incomplete instructions.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Provider does not provide legal, tax or accounting advice unless separately engaged to do so.</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Directors sometimes assume that engaging a provider discharges their duties. It does not. A missed annual return, an unregistered charge or an outdated controllers register lands on the directors, whoever was supposed to file it.</w:t>
      </w:r>
    </w:p>
    <w:p>
      <w:pPr>
        <w:keepNext/>
        <w:spacing w:after="120" w:before="280"/>
        <w:outlineLvl w:val="0"/>
      </w:pPr>
      <w:r>
        <w:rPr>
          <w:rFonts w:ascii="Calibri" w:cs="Calibri" w:eastAsia="Calibri" w:hAnsi="Calibri"/>
          <w:b/>
          <w:bCs/>
          <w:color w:val="14161B"/>
          <w:sz w:val="22"/>
          <w:szCs w:val="22"/>
        </w:rPr>
        <w:t xml:space="preserve">5. RECORDS AND HANDOVER</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Provider shall maintain the Client’s registers and minute book in good order and shall make them available to the Client on request.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On termination, the Provider shall deliver to the Client or its incoming provider, within </w:t>
      </w:r>
      <w:r>
        <w:rPr>
          <w:rFonts w:ascii="Calibri" w:cs="Calibri" w:eastAsia="Calibri" w:hAnsi="Calibri"/>
          <w:b/>
          <w:bCs/>
          <w:sz w:val="21"/>
          <w:szCs w:val="21"/>
        </w:rPr>
        <w:t xml:space="preserve">[14]</w:t>
      </w:r>
      <w:r>
        <w:rPr>
          <w:rFonts w:ascii="Calibri" w:cs="Calibri" w:eastAsia="Calibri" w:hAnsi="Calibri"/>
          <w:b/>
          <w:bCs/>
          <w:sz w:val="21"/>
          <w:szCs w:val="21"/>
        </w:rPr>
        <w:t xml:space="preserve"> days</w:t>
      </w:r>
      <w:r>
        <w:rPr>
          <w:rFonts w:ascii="Calibri" w:cs="Calibri" w:eastAsia="Calibri" w:hAnsi="Calibri"/>
          <w:sz w:val="21"/>
          <w:szCs w:val="21"/>
        </w:rPr>
        <w:t xml:space="preserve">: the statutory registers, the minute book, signed resolutions, filing acknowledgements, correspondence with the Registrar, and any other document belonging to the Client.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Delivery shall not be withheld against unpaid fees</w:t>
      </w:r>
      <w:r>
        <w:rPr>
          <w:rFonts w:ascii="Calibri" w:cs="Calibri" w:eastAsia="Calibri" w:hAnsi="Calibri"/>
          <w:sz w:val="21"/>
          <w:szCs w:val="21"/>
        </w:rPr>
        <w:t xml:space="preserve">, save to the extent any lien is lawfully available. </w:t>
      </w:r>
      <w:r>
        <w:rPr>
          <w:rFonts w:ascii="Calibri" w:cs="Calibri" w:eastAsia="Calibri" w:hAnsi="Calibri"/>
          <w:i/>
          <w:iCs/>
          <w:sz w:val="21"/>
          <w:szCs w:val="21"/>
        </w:rPr>
        <w:t xml:space="preserve">(A dispute over fees that traps a company’s corporate records is damaging and disproportionate — agree the position now.)</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Provider shall co-operate reasonably with an incoming provider.</w:t>
      </w:r>
    </w:p>
    <w:p>
      <w:pPr>
        <w:keepNext/>
        <w:spacing w:after="120" w:before="280"/>
        <w:outlineLvl w:val="0"/>
      </w:pPr>
      <w:r>
        <w:rPr>
          <w:rFonts w:ascii="Calibri" w:cs="Calibri" w:eastAsia="Calibri" w:hAnsi="Calibri"/>
          <w:b/>
          <w:bCs/>
          <w:color w:val="14161B"/>
          <w:sz w:val="22"/>
          <w:szCs w:val="22"/>
        </w:rPr>
        <w:t xml:space="preserve">6. DATA PROTECTION AND CONFIDENTIALITY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Provider processes personal data on behalf of the Client and shall comply with the Personal Data Protection Act 2012, use the data only for the services, apply reasonable security arrangements, and </w:t>
      </w:r>
      <w:r>
        <w:rPr>
          <w:rFonts w:ascii="Calibri" w:cs="Calibri" w:eastAsia="Calibri" w:hAnsi="Calibri"/>
          <w:b/>
          <w:bCs/>
          <w:sz w:val="21"/>
          <w:szCs w:val="21"/>
        </w:rPr>
        <w:t xml:space="preserve">notify the Client immediately</w:t>
      </w:r>
      <w:r>
        <w:rPr>
          <w:rFonts w:ascii="Calibri" w:cs="Calibri" w:eastAsia="Calibri" w:hAnsi="Calibri"/>
          <w:sz w:val="21"/>
          <w:szCs w:val="21"/>
        </w:rPr>
        <w:t xml:space="preserve"> of any data breach affecting the Client’s data.</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Provider shall not engage a sub-processor without the Client’s consent, and remains liable for any it engages.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Each party shall keep the other’s confidential information confidential, save as required by law or by a regulator.</w:t>
      </w:r>
    </w:p>
    <w:p>
      <w:pPr>
        <w:keepNext/>
        <w:spacing w:after="120" w:before="280"/>
        <w:outlineLvl w:val="0"/>
      </w:pPr>
      <w:r>
        <w:rPr>
          <w:rFonts w:ascii="Calibri" w:cs="Calibri" w:eastAsia="Calibri" w:hAnsi="Calibri"/>
          <w:b/>
          <w:bCs/>
          <w:color w:val="14161B"/>
          <w:sz w:val="22"/>
          <w:szCs w:val="22"/>
        </w:rPr>
        <w:t xml:space="preserve">7. ANTI-MONEY-LAUNDERING</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Provider is subject to customer due diligence, record-keeping and reporting obligations as a registered filing agent.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Client shall provide the information required, including on beneficial ownership, source of funds and the nature of the business, and shall update it on request.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Provider may decline to act, or may terminate, where it cannot complete due diligence or where it has concerns it is obliged to act upon, and </w:t>
      </w:r>
      <w:r>
        <w:rPr>
          <w:rFonts w:ascii="Calibri" w:cs="Calibri" w:eastAsia="Calibri" w:hAnsi="Calibri"/>
          <w:b/>
          <w:bCs/>
          <w:sz w:val="21"/>
          <w:szCs w:val="21"/>
        </w:rPr>
        <w:t xml:space="preserve">may not be able to explain the reason</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8. FEES, TERM AND TERMINATION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annual fee is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payable </w:t>
      </w:r>
      <w:r>
        <w:rPr>
          <w:rFonts w:ascii="Calibri" w:cs="Calibri" w:eastAsia="Calibri" w:hAnsi="Calibri"/>
          <w:b/>
          <w:bCs/>
          <w:sz w:val="21"/>
          <w:szCs w:val="21"/>
        </w:rPr>
        <w:t xml:space="preserve">[annually in advance]</w:t>
      </w:r>
      <w:r>
        <w:rPr>
          <w:rFonts w:ascii="Calibri" w:cs="Calibri" w:eastAsia="Calibri" w:hAnsi="Calibri"/>
          <w:sz w:val="21"/>
          <w:szCs w:val="21"/>
        </w:rPr>
        <w:t xml:space="preserve">. Services outside Schedule 1 are charged at the rates stated or as agreed in advance.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Disbursements, including registry fees and stamp duty, are charged at cost.</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Either party may terminate on </w:t>
      </w:r>
      <w:r>
        <w:rPr>
          <w:rFonts w:ascii="Calibri" w:cs="Calibri" w:eastAsia="Calibri" w:hAnsi="Calibri"/>
          <w:b/>
          <w:bCs/>
          <w:sz w:val="21"/>
          <w:szCs w:val="21"/>
        </w:rPr>
        <w:t xml:space="preserve">[60]</w:t>
      </w:r>
      <w:r>
        <w:rPr>
          <w:rFonts w:ascii="Calibri" w:cs="Calibri" w:eastAsia="Calibri" w:hAnsi="Calibri"/>
          <w:b/>
          <w:bCs/>
          <w:sz w:val="21"/>
          <w:szCs w:val="21"/>
        </w:rPr>
        <w:t xml:space="preserve"> days</w:t>
      </w:r>
      <w:r>
        <w:rPr>
          <w:rFonts w:ascii="Calibri" w:cs="Calibri" w:eastAsia="Calibri" w:hAnsi="Calibri"/>
          <w:sz w:val="21"/>
          <w:szCs w:val="21"/>
        </w:rPr>
        <w:t xml:space="preserve"> written notice, or immediately for material breach not remedied within </w:t>
      </w:r>
      <w:r>
        <w:rPr>
          <w:rFonts w:ascii="Calibri" w:cs="Calibri" w:eastAsia="Calibri" w:hAnsi="Calibri"/>
          <w:b/>
          <w:bCs/>
          <w:sz w:val="21"/>
          <w:szCs w:val="21"/>
        </w:rPr>
        <w:t xml:space="preserve">[14]</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b/>
          <w:bCs/>
          <w:sz w:val="21"/>
          <w:szCs w:val="21"/>
        </w:rPr>
        <w:t xml:space="preserve">On termination the Client must appoint a replacement company secretary before the outgoing secretary’s resignation takes effect</w:t>
      </w:r>
      <w:r>
        <w:rPr>
          <w:rFonts w:ascii="Calibri" w:cs="Calibri" w:eastAsia="Calibri" w:hAnsi="Calibri"/>
          <w:sz w:val="21"/>
          <w:szCs w:val="21"/>
        </w:rPr>
        <w:t xml:space="preserve">, and must provide an alternative registered office. The office must not be vacant for more than six months.</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 Provider’s liability is limited to </w:t>
      </w:r>
      <w:r>
        <w:rPr>
          <w:rFonts w:ascii="Calibri" w:cs="Calibri" w:eastAsia="Calibri" w:hAnsi="Calibri"/>
          <w:b/>
          <w:bCs/>
          <w:sz w:val="21"/>
          <w:szCs w:val="21"/>
        </w:rPr>
        <w:t xml:space="preserve">[the annual fee / S$ ______]</w:t>
      </w:r>
      <w:r>
        <w:rPr>
          <w:rFonts w:ascii="Calibri" w:cs="Calibri" w:eastAsia="Calibri" w:hAnsi="Calibri"/>
          <w:sz w:val="21"/>
          <w:szCs w:val="21"/>
        </w:rPr>
        <w:t xml:space="preserve">, save for fraud, wilful default or liability that cannot lawfully be limited. </w:t>
      </w:r>
      <w:r>
        <w:rPr>
          <w:rFonts w:ascii="Calibri" w:cs="Calibri" w:eastAsia="Calibri" w:hAnsi="Calibri"/>
          <w:i/>
          <w:iCs/>
          <w:sz w:val="21"/>
          <w:szCs w:val="21"/>
        </w:rPr>
        <w:t xml:space="preserve">(Consider whether this cap is adequate where the Provider handles filings on which real value depends.)</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sz w:val="21"/>
          <w:szCs w:val="21"/>
        </w:rPr>
        <w:t xml:space="preserve">This agreement is governed by the laws of Singapore.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[PROVIDER NAME]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Provider Selection and Review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855"/>
        <w:gridCol w:w="1542"/>
        <w:gridCol w:w="3856"/>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Answer</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provider a registered filing agent, and is the registration current?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Verify directly, not from marketing</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specifically will be the named company secretary?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named individual, not a firm</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Are annual controller verification notices included?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most commonly assumed and excluded item</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Are central register filings included?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Distinct from maintaining the register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the minute book maintained?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Frequently excluded; frequently missing later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annual return filing included, or charged separately?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856"/>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is charged separately, and at what rate?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low headline fee with high extras is common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How quickly do they respond, and to whom?</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Test it before signing</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Will they proactively remind us of deadlines?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Reactive providers leave the diary to you</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happens to our records on termination?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Agree it now, not during a dispute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they also offer nominee director services, and under what terms?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Must be a separate agreement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they carry professional indemnity insurance?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the level against the liability cap</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we reviewed the arrangement in the last 12 months?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Needs change as the company grows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Settle the scope in writing, item by item</w:t>
      </w:r>
    </w:p>
    <w:p>
      <w:pPr>
        <w:spacing w:after="60" w:line="264"/>
        <w:jc w:val="both"/>
      </w:pPr>
      <w:r>
        <w:rPr>
          <w:rFonts w:ascii="Calibri" w:cs="Calibri" w:eastAsia="Calibri" w:hAnsi="Calibri"/>
          <w:sz w:val="19"/>
          <w:szCs w:val="19"/>
        </w:rPr>
        <w:t xml:space="preserve">Almost every problem in these arrangements traces back to a difference between what the client assumed and what the provider agreed to do. Schedule 1 lists twenty-three services with a yes-or-no against each. Completing it takes twenty minutes and prevents the situation where a filing was nobody’s job.</w:t>
      </w:r>
    </w:p>
    <w:p>
      <w:pPr>
        <w:keepNext/>
        <w:spacing w:after="40" w:before="140"/>
      </w:pPr>
      <w:r>
        <w:rPr>
          <w:rFonts w:ascii="Calibri" w:cs="Calibri" w:eastAsia="Calibri" w:hAnsi="Calibri"/>
          <w:b/>
          <w:bCs/>
          <w:color w:val="14161B"/>
          <w:sz w:val="20"/>
          <w:szCs w:val="20"/>
        </w:rPr>
        <w:t xml:space="preserve">The three most commonly excluded items</w:t>
      </w:r>
    </w:p>
    <w:p>
      <w:pPr>
        <w:spacing w:after="60" w:line="264"/>
        <w:jc w:val="both"/>
      </w:pPr>
      <w:r>
        <w:rPr>
          <w:rFonts w:ascii="Calibri" w:cs="Calibri" w:eastAsia="Calibri" w:hAnsi="Calibri"/>
          <w:sz w:val="19"/>
          <w:szCs w:val="19"/>
        </w:rPr>
        <w:t xml:space="preserve">Annual controller verification notices, central register filings, and the minute book. Clients assume all three are covered by a company secretarial retainer; providers frequently price them separately or omit them entirely. Items 3 to 5 of the review annexure exist because these are the ones that matter and the ones that get missed.</w:t>
      </w:r>
    </w:p>
    <w:p>
      <w:pPr>
        <w:keepNext/>
        <w:spacing w:after="40" w:before="140"/>
      </w:pPr>
      <w:r>
        <w:rPr>
          <w:rFonts w:ascii="Calibri" w:cs="Calibri" w:eastAsia="Calibri" w:hAnsi="Calibri"/>
          <w:b/>
          <w:bCs/>
          <w:color w:val="14161B"/>
          <w:sz w:val="20"/>
          <w:szCs w:val="20"/>
        </w:rPr>
        <w:t xml:space="preserve">Maintaining a register is not the same as filing it</w:t>
      </w:r>
    </w:p>
    <w:p>
      <w:pPr>
        <w:spacing w:after="60" w:line="264"/>
        <w:jc w:val="both"/>
      </w:pPr>
      <w:r>
        <w:rPr>
          <w:rFonts w:ascii="Calibri" w:cs="Calibri" w:eastAsia="Calibri" w:hAnsi="Calibri"/>
          <w:sz w:val="19"/>
          <w:szCs w:val="19"/>
        </w:rPr>
        <w:t xml:space="preserve">The register of registrable controllers must be kept </w:t>
      </w:r>
      <w:r>
        <w:rPr>
          <w:rFonts w:ascii="Calibri" w:cs="Calibri" w:eastAsia="Calibri" w:hAnsi="Calibri"/>
          <w:b/>
          <w:bCs/>
          <w:sz w:val="19"/>
          <w:szCs w:val="19"/>
        </w:rPr>
        <w:t xml:space="preserve">and</w:t>
      </w:r>
      <w:r>
        <w:rPr>
          <w:rFonts w:ascii="Calibri" w:cs="Calibri" w:eastAsia="Calibri" w:hAnsi="Calibri"/>
          <w:sz w:val="19"/>
          <w:szCs w:val="19"/>
        </w:rPr>
        <w:t xml:space="preserve"> the information filed with the central register and kept updated there. A provider maintaining an immaculate register at its own office, with nothing filed centrally, has not discharged the obligation. Ask about both separately.</w:t>
      </w:r>
    </w:p>
    <w:p>
      <w:pPr>
        <w:keepNext/>
        <w:spacing w:after="40" w:before="140"/>
      </w:pPr>
      <w:r>
        <w:rPr>
          <w:rFonts w:ascii="Calibri" w:cs="Calibri" w:eastAsia="Calibri" w:hAnsi="Calibri"/>
          <w:b/>
          <w:bCs/>
          <w:color w:val="14161B"/>
          <w:sz w:val="20"/>
          <w:szCs w:val="20"/>
        </w:rPr>
        <w:t xml:space="preserve">Responsibility does not transfer</w:t>
      </w:r>
    </w:p>
    <w:p>
      <w:pPr>
        <w:spacing w:after="60" w:line="264"/>
        <w:jc w:val="both"/>
      </w:pPr>
      <w:r>
        <w:rPr>
          <w:rFonts w:ascii="Calibri" w:cs="Calibri" w:eastAsia="Calibri" w:hAnsi="Calibri"/>
          <w:sz w:val="19"/>
          <w:szCs w:val="19"/>
        </w:rPr>
        <w:t xml:space="preserve">Engaging a provider does not discharge the directors’ statutory obligations. A missed annual return or an unregistered charge lands on the directors regardless of who was supposed to file it. Clause 4.4 says this plainly because directors regularly assume otherwise, and the assumption is comfortable right up until it is not.</w:t>
      </w:r>
    </w:p>
    <w:p>
      <w:pPr>
        <w:keepNext/>
        <w:spacing w:after="40" w:before="140"/>
      </w:pPr>
      <w:r>
        <w:rPr>
          <w:rFonts w:ascii="Calibri" w:cs="Calibri" w:eastAsia="Calibri" w:hAnsi="Calibri"/>
          <w:b/>
          <w:bCs/>
          <w:color w:val="14161B"/>
          <w:sz w:val="20"/>
          <w:szCs w:val="20"/>
        </w:rPr>
        <w:t xml:space="preserve">Verify the registered filing agent status</w:t>
      </w:r>
    </w:p>
    <w:p>
      <w:pPr>
        <w:spacing w:after="60" w:line="264"/>
        <w:jc w:val="both"/>
      </w:pPr>
      <w:r>
        <w:rPr>
          <w:rFonts w:ascii="Calibri" w:cs="Calibri" w:eastAsia="Calibri" w:hAnsi="Calibri"/>
          <w:sz w:val="19"/>
          <w:szCs w:val="19"/>
        </w:rPr>
        <w:t xml:space="preserve">Only registered filing agents may make certain filings, and nominee director appointments made by way of business must be arranged through a registered corporate service provider. Verify the registration directly rather than relying on a claim in a proposal.</w:t>
      </w:r>
    </w:p>
    <w:p>
      <w:pPr>
        <w:keepNext/>
        <w:spacing w:after="40" w:before="140"/>
      </w:pPr>
      <w:r>
        <w:rPr>
          <w:rFonts w:ascii="Calibri" w:cs="Calibri" w:eastAsia="Calibri" w:hAnsi="Calibri"/>
          <w:b/>
          <w:bCs/>
          <w:color w:val="14161B"/>
          <w:sz w:val="20"/>
          <w:szCs w:val="20"/>
        </w:rPr>
        <w:t xml:space="preserve">Nominee director must be separate</w:t>
      </w:r>
    </w:p>
    <w:p>
      <w:pPr>
        <w:spacing w:after="60" w:line="264"/>
        <w:jc w:val="both"/>
      </w:pPr>
      <w:r>
        <w:rPr>
          <w:rFonts w:ascii="Calibri" w:cs="Calibri" w:eastAsia="Calibri" w:hAnsi="Calibri"/>
          <w:sz w:val="19"/>
          <w:szCs w:val="19"/>
        </w:rPr>
        <w:t xml:space="preserve">Corporate secretarial services and nominee directorship are different arrangements with different risks and different regulatory requirements. Clause 1.4 keeps them apart. A single bundled agreement obscures the nominee’s duties and exposure, which serves neither side.</w:t>
      </w:r>
    </w:p>
    <w:p>
      <w:pPr>
        <w:keepNext/>
        <w:spacing w:after="40" w:before="140"/>
      </w:pPr>
      <w:r>
        <w:rPr>
          <w:rFonts w:ascii="Calibri" w:cs="Calibri" w:eastAsia="Calibri" w:hAnsi="Calibri"/>
          <w:b/>
          <w:bCs/>
          <w:color w:val="14161B"/>
          <w:sz w:val="20"/>
          <w:szCs w:val="20"/>
        </w:rPr>
        <w:t xml:space="preserve">Name the individual secretary</w:t>
      </w:r>
    </w:p>
    <w:p>
      <w:pPr>
        <w:spacing w:after="60" w:line="264"/>
        <w:jc w:val="both"/>
      </w:pPr>
      <w:r>
        <w:rPr>
          <w:rFonts w:ascii="Calibri" w:cs="Calibri" w:eastAsia="Calibri" w:hAnsi="Calibri"/>
          <w:sz w:val="19"/>
          <w:szCs w:val="19"/>
        </w:rPr>
        <w:t xml:space="preserve">The company secretary is an individual holding a statutory office, not a firm. Know who it is, that they are ordinarily resident in Singapore, and that they are qualified. Note that for a company with a sole director, the secretary cannot be that same person.</w:t>
      </w:r>
    </w:p>
    <w:p>
      <w:pPr>
        <w:keepNext/>
        <w:spacing w:after="40" w:before="140"/>
      </w:pPr>
      <w:r>
        <w:rPr>
          <w:rFonts w:ascii="Calibri" w:cs="Calibri" w:eastAsia="Calibri" w:hAnsi="Calibri"/>
          <w:b/>
          <w:bCs/>
          <w:color w:val="14161B"/>
          <w:sz w:val="20"/>
          <w:szCs w:val="20"/>
        </w:rPr>
        <w:t xml:space="preserve">Agree the records handover before you need it</w:t>
      </w:r>
    </w:p>
    <w:p>
      <w:pPr>
        <w:spacing w:after="60" w:line="264"/>
        <w:jc w:val="both"/>
      </w:pPr>
      <w:r>
        <w:rPr>
          <w:rFonts w:ascii="Calibri" w:cs="Calibri" w:eastAsia="Calibri" w:hAnsi="Calibri"/>
          <w:sz w:val="19"/>
          <w:szCs w:val="19"/>
        </w:rPr>
        <w:t xml:space="preserve">The most damaging disputes in this area involve a company unable to obtain its own registers and minute book during a fee disagreement, often while a transaction is live. Clause 5.3 addresses it. Agree the position at signature, when neither side is aggrieved.</w:t>
      </w:r>
    </w:p>
    <w:p>
      <w:pPr>
        <w:keepNext/>
        <w:spacing w:after="40" w:before="140"/>
      </w:pPr>
      <w:r>
        <w:rPr>
          <w:rFonts w:ascii="Calibri" w:cs="Calibri" w:eastAsia="Calibri" w:hAnsi="Calibri"/>
          <w:b/>
          <w:bCs/>
          <w:color w:val="14161B"/>
          <w:sz w:val="20"/>
          <w:szCs w:val="20"/>
        </w:rPr>
        <w:t xml:space="preserve">The six-month vacancy limit applies on exit too</w:t>
      </w:r>
    </w:p>
    <w:p>
      <w:pPr>
        <w:spacing w:after="60" w:line="264"/>
        <w:jc w:val="both"/>
      </w:pPr>
      <w:r>
        <w:rPr>
          <w:rFonts w:ascii="Calibri" w:cs="Calibri" w:eastAsia="Calibri" w:hAnsi="Calibri"/>
          <w:sz w:val="19"/>
          <w:szCs w:val="19"/>
        </w:rPr>
        <w:t xml:space="preserve">Terminating a provider without arranging a replacement secretary leaves the office vacant, and it must not remain so for more than six months. Sequence the change: appoint the incoming secretary, then release the outgoing one.</w:t>
      </w:r>
    </w:p>
    <w:p>
      <w:pPr>
        <w:keepNext/>
        <w:spacing w:after="40" w:before="140"/>
      </w:pPr>
      <w:r>
        <w:rPr>
          <w:rFonts w:ascii="Calibri" w:cs="Calibri" w:eastAsia="Calibri" w:hAnsi="Calibri"/>
          <w:b/>
          <w:bCs/>
          <w:color w:val="14161B"/>
          <w:sz w:val="20"/>
          <w:szCs w:val="20"/>
        </w:rPr>
        <w:t xml:space="preserve">Watch the liability cap</w:t>
      </w:r>
    </w:p>
    <w:p>
      <w:pPr>
        <w:spacing w:after="60" w:line="264"/>
        <w:jc w:val="both"/>
      </w:pPr>
      <w:r>
        <w:rPr>
          <w:rFonts w:ascii="Calibri" w:cs="Calibri" w:eastAsia="Calibri" w:hAnsi="Calibri"/>
          <w:sz w:val="19"/>
          <w:szCs w:val="19"/>
        </w:rPr>
        <w:t xml:space="preserve">A cap at the annual fee is common and is very small relative to the consequences of a missed charge registration, a late allotment return or a stale controllers register. Consider whether it is proportionate, and check the provider’s professional indemnity cover.</w:t>
      </w:r>
    </w:p>
    <w:p>
      <w:pPr>
        <w:keepNext/>
        <w:spacing w:after="40" w:before="140"/>
      </w:pPr>
      <w:r>
        <w:rPr>
          <w:rFonts w:ascii="Calibri" w:cs="Calibri" w:eastAsia="Calibri" w:hAnsi="Calibri"/>
          <w:b/>
          <w:bCs/>
          <w:color w:val="14161B"/>
          <w:sz w:val="20"/>
          <w:szCs w:val="20"/>
        </w:rPr>
        <w:t xml:space="preserve">Low headline fees carry high extras</w:t>
      </w:r>
    </w:p>
    <w:p>
      <w:pPr>
        <w:spacing w:after="60" w:line="264"/>
        <w:jc w:val="both"/>
      </w:pPr>
      <w:r>
        <w:rPr>
          <w:rFonts w:ascii="Calibri" w:cs="Calibri" w:eastAsia="Calibri" w:hAnsi="Calibri"/>
          <w:sz w:val="19"/>
          <w:szCs w:val="19"/>
        </w:rPr>
        <w:t xml:space="preserve">Retainers advertised at a low annual figure frequently exclude every filing beyond the annual return. Ask for the schedule of additional charges before signing, and estimate the realistic annual cost including the filings you actually expect to make.</w:t>
      </w:r>
    </w:p>
    <w:p>
      <w:pPr>
        <w:keepNext/>
        <w:spacing w:after="40" w:before="140"/>
      </w:pPr>
      <w:r>
        <w:rPr>
          <w:rFonts w:ascii="Calibri" w:cs="Calibri" w:eastAsia="Calibri" w:hAnsi="Calibri"/>
          <w:b/>
          <w:bCs/>
          <w:color w:val="14161B"/>
          <w:sz w:val="20"/>
          <w:szCs w:val="20"/>
        </w:rPr>
        <w:t xml:space="preserve">They are a data processor</w:t>
      </w:r>
    </w:p>
    <w:p>
      <w:pPr>
        <w:spacing w:after="60" w:line="264"/>
        <w:jc w:val="both"/>
      </w:pPr>
      <w:r>
        <w:rPr>
          <w:rFonts w:ascii="Calibri" w:cs="Calibri" w:eastAsia="Calibri" w:hAnsi="Calibri"/>
          <w:sz w:val="19"/>
          <w:szCs w:val="19"/>
        </w:rPr>
        <w:t xml:space="preserve">The provider handles directors’ and shareholders’ identification numbers, residential addresses and dates of birth. The immediate breach notification in Clause 6.1 is what makes your own notification timeline achievable — a provider that tells you weeks later makes it impossible.</w:t>
      </w:r>
    </w:p>
    <w:p>
      <w:pPr>
        <w:keepNext/>
        <w:spacing w:after="40" w:before="140"/>
      </w:pPr>
      <w:r>
        <w:rPr>
          <w:rFonts w:ascii="Calibri" w:cs="Calibri" w:eastAsia="Calibri" w:hAnsi="Calibri"/>
          <w:b/>
          <w:bCs/>
          <w:color w:val="14161B"/>
          <w:sz w:val="20"/>
          <w:szCs w:val="20"/>
        </w:rPr>
        <w:t xml:space="preserve">Due diligence obligations are real and may be opaque</w:t>
      </w:r>
    </w:p>
    <w:p>
      <w:pPr>
        <w:spacing w:after="60" w:line="264"/>
        <w:jc w:val="both"/>
      </w:pPr>
      <w:r>
        <w:rPr>
          <w:rFonts w:ascii="Calibri" w:cs="Calibri" w:eastAsia="Calibri" w:hAnsi="Calibri"/>
          <w:sz w:val="19"/>
          <w:szCs w:val="19"/>
        </w:rPr>
        <w:t xml:space="preserve">Registered filing agents have anti-money-laundering obligations and may decline or terminate without being able to explain why. A client that finds a provider suddenly unwilling to act should not assume it is a commercial dispute.</w:t>
      </w:r>
    </w:p>
    <w:p>
      <w:pPr>
        <w:keepNext/>
        <w:spacing w:after="40" w:before="140"/>
      </w:pPr>
      <w:r>
        <w:rPr>
          <w:rFonts w:ascii="Calibri" w:cs="Calibri" w:eastAsia="Calibri" w:hAnsi="Calibri"/>
          <w:b/>
          <w:bCs/>
          <w:color w:val="14161B"/>
          <w:sz w:val="20"/>
          <w:szCs w:val="20"/>
        </w:rPr>
        <w:t xml:space="preserve">Review annually</w:t>
      </w:r>
    </w:p>
    <w:p>
      <w:pPr>
        <w:spacing w:after="60" w:line="264"/>
        <w:jc w:val="both"/>
      </w:pPr>
      <w:r>
        <w:rPr>
          <w:rFonts w:ascii="Calibri" w:cs="Calibri" w:eastAsia="Calibri" w:hAnsi="Calibri"/>
          <w:sz w:val="19"/>
          <w:szCs w:val="19"/>
        </w:rPr>
        <w:t xml:space="preserve">A retainer that suited a dormant holding company is inadequate for one with employees, investors, charges and share issues. Growth outpaces the arrangement quietly. An annual review using the annexure catches it before a deadline does.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Registered filing agent and corporate service provider requirements, register and central filing obligations, and company secretary requirements under the Companies Act 1967 all change and were amended significantly in 2024 and 2025 — confirm the current position and have any agreement reviewed before signing.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2026-08-22T06:55:30.841Z</dcterms:created>
  <dcterms:modified xsi:type="dcterms:W3CDTF">2026-08-22T06:55:30.841Z</dcterms:modified>
</cp:coreProperties>
</file>

<file path=docProps/custom.xml><?xml version="1.0" encoding="utf-8"?>
<Properties xmlns="http://schemas.openxmlformats.org/officeDocument/2006/custom-properties" xmlns:vt="http://schemas.openxmlformats.org/officeDocument/2006/docPropsVTypes"/>
</file>