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CONVERTIBLE INSTRUMENTS</w:t>
      </w:r>
    </w:p>
    <w:p>
      <w:pPr>
        <w:spacing w:after="260"/>
        <w:jc w:val="center"/>
      </w:pPr>
      <w:r>
        <w:rPr>
          <w:rFonts w:ascii="Calibri" w:cs="Calibri" w:eastAsia="Calibri" w:hAnsi="Calibri"/>
          <w:i/>
          <w:iCs/>
          <w:color w:val="6E7480"/>
          <w:sz w:val="19"/>
          <w:szCs w:val="19"/>
        </w:rPr>
        <w:t xml:space="preserve">CARE, convertible notes and choosing between them</w:t>
      </w:r>
    </w:p>
    <w:p>
      <w:pPr>
        <w:spacing w:after="180" w:before="0" w:line="276"/>
        <w:jc w:val="both"/>
      </w:pPr>
      <w:r>
        <w:rPr>
          <w:rFonts w:ascii="Calibri" w:cs="Calibri" w:eastAsia="Calibri" w:hAnsi="Calibri"/>
          <w:i/>
          <w:iCs/>
          <w:color w:val="6E7480"/>
          <w:sz w:val="21"/>
          <w:szCs w:val="21"/>
        </w:rPr>
        <w:t xml:space="preserve">Singapore has its own convertible instrument: the </w:t>
      </w:r>
      <w:r>
        <w:rPr>
          <w:rFonts w:ascii="Calibri" w:cs="Calibri" w:eastAsia="Calibri" w:hAnsi="Calibri"/>
          <w:b/>
          <w:bCs/>
          <w:i/>
          <w:iCs/>
          <w:color w:val="6E7480"/>
          <w:sz w:val="21"/>
          <w:szCs w:val="21"/>
        </w:rPr>
        <w:t xml:space="preserve">CARE</w:t>
      </w:r>
      <w:r>
        <w:rPr>
          <w:rFonts w:ascii="Calibri" w:cs="Calibri" w:eastAsia="Calibri" w:hAnsi="Calibri"/>
          <w:i/>
          <w:iCs/>
          <w:color w:val="6E7480"/>
          <w:sz w:val="21"/>
          <w:szCs w:val="21"/>
        </w:rPr>
        <w:t xml:space="preserve"> — Convertible Agreement Regarding Equity — published as part of VIMA. It is not a loan, carries no interest and no maturity date, and converts on a defined event. A convertible note is debt: it accrues interest, it matures, and if it is not converted it must be repaid.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Instrument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[CARE / Convertible note]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Valuation cap</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Discount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[20]</w:t>
            </w:r>
            <w:r>
              <w:rPr>
                <w:rFonts w:ascii="Calibri" w:cs="Calibri" w:eastAsia="Calibri" w:hAnsi="Calibri"/>
                <w:sz w:val="19"/>
                <w:szCs w:val="19"/>
              </w:rPr>
              <w:t xml:space="preserve"> per cent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Qualifying financing threshold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[Interest — notes only]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per cent per annum</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[Maturity — notes only]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Conversion security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class issued in the qualifying financing]</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Most favoured nation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INSTRUMENT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2505"/>
        <w:gridCol w:w="2891"/>
        <w:gridCol w:w="2508"/>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Feature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CARE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Convertible note</w:t>
            </w:r>
          </w:p>
        </w:tc>
        <w:tc>
          <w:tcPr>
            <w:tcW w:type="dxa" w:w="25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Priced round</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Legal nature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Right to future equity — </w:t>
            </w:r>
            <w:r>
              <w:rPr>
                <w:rFonts w:ascii="Calibri" w:cs="Calibri" w:eastAsia="Calibri" w:hAnsi="Calibri"/>
                <w:b/>
                <w:bCs/>
                <w:sz w:val="16"/>
                <w:szCs w:val="16"/>
              </w:rPr>
              <w:t xml:space="preserve">not debt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Debt</w:t>
            </w:r>
            <w:r>
              <w:rPr>
                <w:rFonts w:ascii="Calibri" w:cs="Calibri" w:eastAsia="Calibri" w:hAnsi="Calibri"/>
                <w:sz w:val="16"/>
                <w:szCs w:val="16"/>
              </w:rPr>
              <w:t xml:space="preserve"> until converted</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 now</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Interest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[6–10]</w:t>
            </w:r>
            <w:r>
              <w:rPr>
                <w:rFonts w:ascii="Calibri" w:cs="Calibri" w:eastAsia="Calibri" w:hAnsi="Calibri"/>
                <w:sz w:val="16"/>
                <w:szCs w:val="16"/>
              </w:rPr>
              <w:t xml:space="preserve"> per cent, usually accruing</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Maturity date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None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 — repayable if not converted</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applicable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Repayment risk</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 — no repayment obligation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Real</w:t>
            </w:r>
            <w:r>
              <w:rPr>
                <w:rFonts w:ascii="Calibri" w:cs="Calibri" w:eastAsia="Calibri" w:hAnsi="Calibri"/>
                <w:sz w:val="16"/>
                <w:szCs w:val="16"/>
              </w:rPr>
              <w:t xml:space="preserve"> — becomes payable at maturity</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Balance sheet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Generally equity-like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 liability</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Valuation needed now?</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 — deferred to the next round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Yes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Speed and cost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Fast, low cost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Fast, low cost</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Slow, higher cost</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Moneylending question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a loan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Confirm the position — loans to companies generally excluded</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applicable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Suits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Pre-seed and seed; bridge rounds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Where the investor wants downside protection</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Where valuation can be agreed</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Main drawback</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 may not see the dilution until conversion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Maturity can arrive before the next round</w:t>
            </w:r>
          </w:p>
        </w:tc>
        <w:tc>
          <w:tcPr>
            <w:tcW w:type="dxa" w:w="250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Time and cost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maturity date on a note is the risk founders most often overlook. If the next round has not closed by then, the note becomes repayable — usually at exactly the moment the company has no cash. In practice it is renegotiated, but from a weak position.</w:t>
      </w:r>
    </w:p>
    <w:p>
      <w:pPr>
        <w:keepNext/>
        <w:spacing w:after="120" w:before="280"/>
        <w:outlineLvl w:val="0"/>
      </w:pPr>
      <w:r>
        <w:rPr>
          <w:rFonts w:ascii="Calibri" w:cs="Calibri" w:eastAsia="Calibri" w:hAnsi="Calibri"/>
          <w:b/>
          <w:bCs/>
          <w:color w:val="14161B"/>
          <w:sz w:val="22"/>
          <w:szCs w:val="22"/>
        </w:rPr>
        <w:t xml:space="preserve">2. HOW CONVERSION WORKS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instrument converts into shares on a </w:t>
      </w:r>
      <w:r>
        <w:rPr>
          <w:rFonts w:ascii="Calibri" w:cs="Calibri" w:eastAsia="Calibri" w:hAnsi="Calibri"/>
          <w:b/>
          <w:bCs/>
          <w:sz w:val="21"/>
          <w:szCs w:val="21"/>
        </w:rPr>
        <w:t xml:space="preserve">qualifying financing</w:t>
      </w:r>
      <w:r>
        <w:rPr>
          <w:rFonts w:ascii="Calibri" w:cs="Calibri" w:eastAsia="Calibri" w:hAnsi="Calibri"/>
          <w:sz w:val="21"/>
          <w:szCs w:val="21"/>
        </w:rPr>
        <w:t xml:space="preserve"> — an equity round raising at least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conversion price is the </w:t>
      </w:r>
      <w:r>
        <w:rPr>
          <w:rFonts w:ascii="Calibri" w:cs="Calibri" w:eastAsia="Calibri" w:hAnsi="Calibri"/>
          <w:b/>
          <w:bCs/>
          <w:sz w:val="21"/>
          <w:szCs w:val="21"/>
        </w:rPr>
        <w:t xml:space="preserve">lower</w:t>
      </w:r>
      <w:r>
        <w:rPr>
          <w:rFonts w:ascii="Calibri" w:cs="Calibri" w:eastAsia="Calibri" w:hAnsi="Calibri"/>
          <w:sz w:val="21"/>
          <w:szCs w:val="21"/>
        </w:rPr>
        <w:t xml:space="preserve">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price per share in the qualifying financing, </w:t>
      </w:r>
      <w:r>
        <w:rPr>
          <w:rFonts w:ascii="Calibri" w:cs="Calibri" w:eastAsia="Calibri" w:hAnsi="Calibri"/>
          <w:b/>
          <w:bCs/>
          <w:sz w:val="21"/>
          <w:szCs w:val="21"/>
        </w:rPr>
        <w:t xml:space="preserve">less the discount</w:t>
      </w:r>
      <w:r>
        <w:rPr>
          <w:rFonts w:ascii="Calibri" w:cs="Calibri" w:eastAsia="Calibri" w:hAnsi="Calibri"/>
          <w:sz w:val="21"/>
          <w:szCs w:val="21"/>
        </w:rPr>
        <w:t xml:space="preserve"> of </w:t>
      </w:r>
      <w:r>
        <w:rPr>
          <w:rFonts w:ascii="Calibri" w:cs="Calibri" w:eastAsia="Calibri" w:hAnsi="Calibri"/>
          <w:b/>
          <w:bCs/>
          <w:sz w:val="21"/>
          <w:szCs w:val="21"/>
        </w:rPr>
        <w:t xml:space="preserve">[20]</w:t>
      </w:r>
      <w:r>
        <w:rPr>
          <w:rFonts w:ascii="Calibri" w:cs="Calibri" w:eastAsia="Calibri" w:hAnsi="Calibri"/>
          <w:sz w:val="21"/>
          <w:szCs w:val="21"/>
        </w:rPr>
        <w:t xml:space="preserve"> per cent; and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price per share implied by the </w:t>
      </w:r>
      <w:r>
        <w:rPr>
          <w:rFonts w:ascii="Calibri" w:cs="Calibri" w:eastAsia="Calibri" w:hAnsi="Calibri"/>
          <w:b/>
          <w:bCs/>
          <w:sz w:val="21"/>
          <w:szCs w:val="21"/>
        </w:rPr>
        <w:t xml:space="preserve">valuation cap</w:t>
      </w:r>
      <w:r>
        <w:rPr>
          <w:rFonts w:ascii="Calibri" w:cs="Calibri" w:eastAsia="Calibri" w:hAnsi="Calibri"/>
          <w:sz w:val="21"/>
          <w:szCs w:val="21"/>
        </w:rPr>
        <w:t xml:space="preserve">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applied to the </w:t>
      </w:r>
      <w:r>
        <w:rPr>
          <w:rFonts w:ascii="Calibri" w:cs="Calibri" w:eastAsia="Calibri" w:hAnsi="Calibri"/>
          <w:b/>
          <w:bCs/>
          <w:sz w:val="21"/>
          <w:szCs w:val="21"/>
        </w:rPr>
        <w:t xml:space="preserve">[fully diluted / pre-money]</w:t>
      </w:r>
      <w:r>
        <w:rPr>
          <w:rFonts w:ascii="Calibri" w:cs="Calibri" w:eastAsia="Calibri" w:hAnsi="Calibri"/>
          <w:sz w:val="21"/>
          <w:szCs w:val="21"/>
        </w:rPr>
        <w:t xml:space="preserve"> capitalisation.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Both the discount and the cap exist to reward the investor for taking earlier risk. The cap is the more significant of the two: where the next round prices well above the cap, the cap determines the outcome and the discount is irrelevant.</w:t>
      </w:r>
    </w:p>
    <w:p>
      <w:pPr>
        <w:keepNext/>
        <w:spacing w:after="120" w:before="280"/>
        <w:outlineLvl w:val="0"/>
      </w:pPr>
      <w:r>
        <w:rPr>
          <w:rFonts w:ascii="Calibri" w:cs="Calibri" w:eastAsia="Calibri" w:hAnsi="Calibri"/>
          <w:b/>
          <w:bCs/>
          <w:color w:val="14161B"/>
          <w:sz w:val="22"/>
          <w:szCs w:val="22"/>
        </w:rPr>
        <w:t xml:space="preserve">3. WORKED ILLUSTRATION</w:t>
      </w:r>
    </w:p>
    <w:p>
      <w:pPr>
        <w:spacing w:after="100" w:before="0" w:line="276"/>
        <w:jc w:val="both"/>
      </w:pPr>
      <w:r>
        <w:rPr>
          <w:rFonts w:ascii="Calibri" w:cs="Calibri" w:eastAsia="Calibri" w:hAnsi="Calibri"/>
          <w:i/>
          <w:iCs/>
          <w:sz w:val="21"/>
          <w:szCs w:val="21"/>
        </w:rPr>
        <w:t xml:space="preserve">Figures illustrative. Model your own before agreeing a cap.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542"/>
        <w:gridCol w:w="1445"/>
        <w:gridCol w:w="2409"/>
        <w:gridCol w:w="963"/>
        <w:gridCol w:w="966"/>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Scenario</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Next round pre-money</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Price per share</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Conversion price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Effective</w:t>
            </w:r>
          </w:p>
        </w:tc>
        <w:tc>
          <w:tcPr>
            <w:tcW w:type="dxa" w:w="96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Investor shares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Round prices below the cap</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[4m]</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[1.00]</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[0.80]</w:t>
            </w:r>
            <w:r>
              <w:rPr>
                <w:rFonts w:ascii="Calibri" w:cs="Calibri" w:eastAsia="Calibri" w:hAnsi="Calibri"/>
                <w:sz w:val="16"/>
                <w:szCs w:val="16"/>
              </w:rPr>
              <w:t xml:space="preserve"> — discount applies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Discount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Round prices at the cap</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[6m]</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[1.50]</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[1.20]</w:t>
            </w:r>
            <w:r>
              <w:rPr>
                <w:rFonts w:ascii="Calibri" w:cs="Calibri" w:eastAsia="Calibri" w:hAnsi="Calibri"/>
                <w:sz w:val="16"/>
                <w:szCs w:val="16"/>
              </w:rPr>
              <w:t xml:space="preserve"> — discount applies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Discount</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Round prices above the cap</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[12m]</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[3.00]</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[1.50]</w:t>
            </w:r>
            <w:r>
              <w:rPr>
                <w:rFonts w:ascii="Calibri" w:cs="Calibri" w:eastAsia="Calibri" w:hAnsi="Calibri"/>
                <w:sz w:val="16"/>
                <w:szCs w:val="16"/>
              </w:rPr>
              <w:t xml:space="preserve"> — cap applies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Cap</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Round prices far above the cap</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[30m]</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[7.50]</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[1.50]</w:t>
            </w:r>
            <w:r>
              <w:rPr>
                <w:rFonts w:ascii="Calibri" w:cs="Calibri" w:eastAsia="Calibri" w:hAnsi="Calibri"/>
                <w:sz w:val="16"/>
                <w:szCs w:val="16"/>
              </w:rPr>
              <w:t xml:space="preserve"> — cap applies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Cap</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Note the last row. A very successful next round means the early investor converts at the cap and takes a much larger percentage than the headline discount suggests. Founders should model the high case, not only the expected one.</w:t>
      </w:r>
    </w:p>
    <w:p>
      <w:pPr>
        <w:keepNext/>
        <w:spacing w:after="120" w:before="280"/>
        <w:outlineLvl w:val="0"/>
      </w:pPr>
      <w:r>
        <w:rPr>
          <w:rFonts w:ascii="Calibri" w:cs="Calibri" w:eastAsia="Calibri" w:hAnsi="Calibri"/>
          <w:b/>
          <w:bCs/>
          <w:color w:val="14161B"/>
          <w:sz w:val="22"/>
          <w:szCs w:val="22"/>
        </w:rPr>
        <w:t xml:space="preserve">4. OTHER CONVERSION AND EXIT EVENTS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469"/>
        <w:gridCol w:w="3664"/>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Event</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CARE</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Convertible note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Qualifying financing</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Converts automatically at the lower of discount and cap price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Non-qualifying financing</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[Converts at the investor’s option / does not convert]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 specify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Change of control before conversion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takes the greater of the amount invested or its converted value]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w:t>
            </w:r>
            <w:r>
              <w:rPr>
                <w:rFonts w:ascii="Calibri" w:cs="Calibri" w:eastAsia="Calibri" w:hAnsi="Calibri"/>
                <w:b/>
                <w:bCs/>
                <w:sz w:val="17"/>
                <w:szCs w:val="17"/>
              </w:rPr>
              <w:t xml:space="preserve">[plus accrued interest]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Maturity</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applicable — no maturity</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[Repayable / converts at a stated valuation / extends by agreement]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Dissolution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Ranks </w:t>
            </w:r>
            <w:r>
              <w:rPr>
                <w:rFonts w:ascii="Calibri" w:cs="Calibri" w:eastAsia="Calibri" w:hAnsi="Calibri"/>
                <w:b/>
                <w:bCs/>
                <w:sz w:val="17"/>
                <w:szCs w:val="17"/>
              </w:rPr>
              <w:t xml:space="preserve">[ahead of ordinary shares]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Ranks as a </w:t>
            </w:r>
            <w:r>
              <w:rPr>
                <w:rFonts w:ascii="Calibri" w:cs="Calibri" w:eastAsia="Calibri" w:hAnsi="Calibri"/>
                <w:b/>
                <w:bCs/>
                <w:sz w:val="17"/>
                <w:szCs w:val="17"/>
              </w:rPr>
              <w:t xml:space="preserve">creditor</w:t>
            </w:r>
            <w:r>
              <w:rPr>
                <w:rFonts w:ascii="Calibri" w:cs="Calibri" w:eastAsia="Calibri" w:hAnsi="Calibri"/>
                <w:sz w:val="17"/>
                <w:szCs w:val="17"/>
              </w:rPr>
              <w:t xml:space="preserve">, ahead of all shareholders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event occurs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Remains outstanding indefinitely</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Becomes repayable at maturity</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Decide expressly what happens at </w:t>
      </w:r>
      <w:r>
        <w:rPr>
          <w:rFonts w:ascii="Calibri" w:cs="Calibri" w:eastAsia="Calibri" w:hAnsi="Calibri"/>
          <w:b/>
          <w:bCs/>
          <w:sz w:val="21"/>
          <w:szCs w:val="21"/>
        </w:rPr>
        <w:t xml:space="preserve">maturity</w:t>
      </w:r>
      <w:r>
        <w:rPr>
          <w:rFonts w:ascii="Calibri" w:cs="Calibri" w:eastAsia="Calibri" w:hAnsi="Calibri"/>
          <w:sz w:val="21"/>
          <w:szCs w:val="21"/>
        </w:rPr>
        <w:t xml:space="preserve"> on a note: repayment, automatic conversion at a stated valuation, or extension by agreement. Leaving it as repayment alone creates a cliff.</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Decide expressly what happens on a </w:t>
      </w:r>
      <w:r>
        <w:rPr>
          <w:rFonts w:ascii="Calibri" w:cs="Calibri" w:eastAsia="Calibri" w:hAnsi="Calibri"/>
          <w:b/>
          <w:bCs/>
          <w:sz w:val="21"/>
          <w:szCs w:val="21"/>
        </w:rPr>
        <w:t xml:space="preserve">change of control</w:t>
      </w:r>
      <w:r>
        <w:rPr>
          <w:rFonts w:ascii="Calibri" w:cs="Calibri" w:eastAsia="Calibri" w:hAnsi="Calibri"/>
          <w:sz w:val="21"/>
          <w:szCs w:val="21"/>
        </w:rPr>
        <w:t xml:space="preserve"> before conversion. Silence here produces the most expensive arguments.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KEY TERMS TO SETTLE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505"/>
        <w:gridCol w:w="2505"/>
        <w:gridCol w:w="4243"/>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Term</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Position</w:t>
            </w:r>
          </w:p>
        </w:tc>
        <w:tc>
          <w:tcPr>
            <w:tcW w:type="dxa" w:w="42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Valuation cap</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[AMOUNT]</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most consequential term — model the high case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Discount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[20]</w:t>
            </w:r>
            <w:r>
              <w:rPr>
                <w:rFonts w:ascii="Calibri" w:cs="Calibri" w:eastAsia="Calibri" w:hAnsi="Calibri"/>
                <w:sz w:val="16"/>
                <w:szCs w:val="16"/>
              </w:rPr>
              <w:t xml:space="preserve"> per cent</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Typically 15 to 25 per cent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 applied to what?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[Fully diluted, including the pool]</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Materially changes the outcome</w:t>
            </w:r>
            <w:r>
              <w:rPr>
                <w:rFonts w:ascii="Calibri" w:cs="Calibri" w:eastAsia="Calibri" w:hAnsi="Calibri"/>
                <w:sz w:val="16"/>
                <w:szCs w:val="16"/>
              </w:rPr>
              <w:t xml:space="preserve"> — specify precisely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Qualifying financing threshold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 </w:t>
            </w:r>
            <w:r>
              <w:rPr>
                <w:rFonts w:ascii="Calibri" w:cs="Calibri" w:eastAsia="Calibri" w:hAnsi="Calibri"/>
                <w:b/>
                <w:bCs/>
                <w:sz w:val="16"/>
                <w:szCs w:val="16"/>
              </w:rPr>
              <w:t xml:space="preserve">[AMOUNT]</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Too low and a small bridge triggers conversion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Conversion security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[The class issued in the round]</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Or a shadow class with reduced rights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Most favoured nation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Investor gets the benefit of better terms given to later holders of the same instrument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 rata rights in the next round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Reasonable for a meaningful investor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Information rights before conversion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[Annual accounts]</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Keep light — they are not yet a shareholder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Consent rights before conversion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[None / minimal]</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Resist</w:t>
            </w:r>
            <w:r>
              <w:rPr>
                <w:rFonts w:ascii="Calibri" w:cs="Calibri" w:eastAsia="Calibri" w:hAnsi="Calibri"/>
                <w:sz w:val="16"/>
                <w:szCs w:val="16"/>
              </w:rPr>
              <w:t xml:space="preserve"> — an unconverted holder should not control the company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Interest, for notes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[RATE]</w:t>
            </w:r>
            <w:r>
              <w:rPr>
                <w:rFonts w:ascii="Calibri" w:cs="Calibri" w:eastAsia="Calibri" w:hAnsi="Calibri"/>
                <w:sz w:val="16"/>
                <w:szCs w:val="16"/>
              </w:rPr>
              <w:t xml:space="preserve"> per cent, </w:t>
            </w:r>
            <w:r>
              <w:rPr>
                <w:rFonts w:ascii="Calibri" w:cs="Calibri" w:eastAsia="Calibri" w:hAnsi="Calibri"/>
                <w:b/>
                <w:bCs/>
                <w:sz w:val="16"/>
                <w:szCs w:val="16"/>
              </w:rPr>
              <w:t xml:space="preserve">[accruing and converting]</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Accruing interest that converts increases dilution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Maturity, for notes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Allow enough runway for the next round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Transfer restrictions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 without consent]</w:t>
            </w:r>
          </w:p>
        </w:tc>
        <w:tc>
          <w:tcPr>
            <w:tcW w:type="dxa" w:w="424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Prevents the instrument reaching an unwanted holder</w:t>
            </w:r>
          </w:p>
        </w:tc>
      </w:tr>
    </w:tbl>
    <w:p>
      <w:pPr>
        <w:spacing w:after="160"/>
      </w:pPr>
    </w:p>
    <w:p>
      <w:pPr>
        <w:keepNext/>
        <w:spacing w:after="120" w:before="280"/>
        <w:outlineLvl w:val="0"/>
      </w:pPr>
      <w:r>
        <w:rPr>
          <w:rFonts w:ascii="Calibri" w:cs="Calibri" w:eastAsia="Calibri" w:hAnsi="Calibri"/>
          <w:b/>
          <w:bCs/>
          <w:color w:val="14161B"/>
          <w:sz w:val="22"/>
          <w:szCs w:val="22"/>
        </w:rPr>
        <w:t xml:space="preserve">6. STACKING</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Where several instruments are issued at different caps and discounts, each converts on its own terms in the same round.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Model the cumulative dilution before issuing another instrument.</w:t>
      </w:r>
      <w:r>
        <w:rPr>
          <w:rFonts w:ascii="Calibri" w:cs="Calibri" w:eastAsia="Calibri" w:hAnsi="Calibri"/>
          <w:sz w:val="21"/>
          <w:szCs w:val="21"/>
        </w:rPr>
        <w:t xml:space="preserve"> Founders who raise repeatedly on convertibles frequently discover at the priced round that the aggregate conversion takes far more of the company than any individual instrument suggested.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734"/>
        <w:gridCol w:w="1156"/>
        <w:gridCol w:w="1156"/>
        <w:gridCol w:w="1060"/>
        <w:gridCol w:w="1060"/>
        <w:gridCol w:w="1542"/>
        <w:gridCol w:w="1545"/>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Holder</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Cap</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Discount</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Converts to (est.)</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Percentage (est.)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385"/>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156"/>
            <w:tcMar>
              <w:top w:type="dxa" w:w="70"/>
              <w:left w:type="dxa" w:w="100"/>
              <w:bottom w:type="dxa" w:w="70"/>
              <w:right w:type="dxa" w:w="100"/>
            </w:tcMar>
            <w:vAlign w:val="center"/>
          </w:tcPr>
          <w:p>
            <w:pPr>
              <w:spacing w:after="0" w:line="240"/>
              <w:jc w:val="left"/>
            </w:pPr>
          </w:p>
        </w:tc>
        <w:tc>
          <w:tcPr>
            <w:tcW w:type="dxa" w:w="1060"/>
            <w:tcMar>
              <w:top w:type="dxa" w:w="70"/>
              <w:left w:type="dxa" w:w="100"/>
              <w:bottom w:type="dxa" w:w="70"/>
              <w:right w:type="dxa" w:w="100"/>
            </w:tcMar>
            <w:vAlign w:val="center"/>
          </w:tcPr>
          <w:p>
            <w:pPr>
              <w:spacing w:after="0" w:line="240"/>
              <w:jc w:val="left"/>
            </w:pPr>
          </w:p>
        </w:tc>
        <w:tc>
          <w:tcPr>
            <w:tcW w:type="dxa" w:w="1060"/>
            <w:tcMar>
              <w:top w:type="dxa" w:w="70"/>
              <w:left w:type="dxa" w:w="100"/>
              <w:bottom w:type="dxa" w:w="70"/>
              <w:right w:type="dxa" w:w="100"/>
            </w:tcMar>
            <w:vAlign w:val="center"/>
          </w:tcPr>
          <w:p>
            <w:pPr>
              <w:spacing w:after="0" w:line="240"/>
              <w:jc w:val="left"/>
            </w:pP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bl>
    <w:p>
      <w:pPr>
        <w:keepNext/>
        <w:spacing w:after="120" w:before="280"/>
        <w:outlineLvl w:val="0"/>
      </w:pPr>
      <w:r>
        <w:rPr>
          <w:rFonts w:ascii="Calibri" w:cs="Calibri" w:eastAsia="Calibri" w:hAnsi="Calibri"/>
          <w:b/>
          <w:bCs/>
          <w:color w:val="14161B"/>
          <w:sz w:val="22"/>
          <w:szCs w:val="22"/>
        </w:rPr>
        <w:t xml:space="preserve">7. ON CONVERSION — WHAT MUST ACTUALLY HAPPEN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264"/>
        <w:gridCol w:w="2893"/>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62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Deadline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Conversion price computed and agreed with the investor</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closing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resolution allotting the shares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closing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Constitution amended where a new class is created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allotment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Pre-emption on new issues complied with or waived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allotment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Deed of adherence to the shareholders’ agreement executed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closing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members updated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allotment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Return of allotment lodged with the Registrar</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Within 14 days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certificate issued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Prescribed 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Registrable controllers register reviewed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change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table reconciled to the Registrar’s register</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allotment</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[INVESTOR]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Use VIMA’s CARE rather than drafting from scratch</w:t>
      </w:r>
    </w:p>
    <w:p>
      <w:pPr>
        <w:spacing w:after="60" w:line="264"/>
        <w:jc w:val="both"/>
      </w:pPr>
      <w:r>
        <w:rPr>
          <w:rFonts w:ascii="Calibri" w:cs="Calibri" w:eastAsia="Calibri" w:hAnsi="Calibri"/>
          <w:sz w:val="19"/>
          <w:szCs w:val="19"/>
        </w:rPr>
        <w:t xml:space="preserve">The Convertible Agreement Regarding Equity is published free as part of the Venture Capital Investment Model Agreements, with drafting notes. It is Singapore-law, recognised by investors and their counsel, and negotiating from it is materially faster than negotiating a bespoke instrument. This document explains the terms so you can negotiate them.</w:t>
      </w:r>
    </w:p>
    <w:p>
      <w:pPr>
        <w:keepNext/>
        <w:spacing w:after="40" w:before="140"/>
      </w:pPr>
      <w:r>
        <w:rPr>
          <w:rFonts w:ascii="Calibri" w:cs="Calibri" w:eastAsia="Calibri" w:hAnsi="Calibri"/>
          <w:b/>
          <w:bCs/>
          <w:color w:val="14161B"/>
          <w:sz w:val="20"/>
          <w:szCs w:val="20"/>
        </w:rPr>
        <w:t xml:space="preserve">A CARE is not a loan; a note is</w:t>
      </w:r>
    </w:p>
    <w:p>
      <w:pPr>
        <w:spacing w:after="60" w:line="264"/>
        <w:jc w:val="both"/>
      </w:pPr>
      <w:r>
        <w:rPr>
          <w:rFonts w:ascii="Calibri" w:cs="Calibri" w:eastAsia="Calibri" w:hAnsi="Calibri"/>
          <w:sz w:val="19"/>
          <w:szCs w:val="19"/>
        </w:rPr>
        <w:t xml:space="preserve">The CARE creates a right to future equity with no interest, no maturity and no repayment obligation. A convertible note is debt: it accrues interest, it matures, and if unconverted it must be repaid. On a dissolution the note holder ranks as a creditor ahead of shareholders. That difference is the whole choice.</w:t>
      </w:r>
    </w:p>
    <w:p>
      <w:pPr>
        <w:keepNext/>
        <w:spacing w:after="40" w:before="140"/>
      </w:pPr>
      <w:r>
        <w:rPr>
          <w:rFonts w:ascii="Calibri" w:cs="Calibri" w:eastAsia="Calibri" w:hAnsi="Calibri"/>
          <w:b/>
          <w:bCs/>
          <w:color w:val="14161B"/>
          <w:sz w:val="20"/>
          <w:szCs w:val="20"/>
        </w:rPr>
        <w:t xml:space="preserve">Maturity is the risk founders underestimate</w:t>
      </w:r>
    </w:p>
    <w:p>
      <w:pPr>
        <w:spacing w:after="60" w:line="264"/>
        <w:jc w:val="both"/>
      </w:pPr>
      <w:r>
        <w:rPr>
          <w:rFonts w:ascii="Calibri" w:cs="Calibri" w:eastAsia="Calibri" w:hAnsi="Calibri"/>
          <w:sz w:val="19"/>
          <w:szCs w:val="19"/>
        </w:rPr>
        <w:t xml:space="preserve">If the next round has not closed by the maturity date, the note becomes repayable — typically when the company has least cash. In practice it is renegotiated, but from a position of weakness. Either allow generous runway, or specify what happens at maturity other than repayment.</w:t>
      </w:r>
    </w:p>
    <w:p>
      <w:pPr>
        <w:keepNext/>
        <w:spacing w:after="40" w:before="140"/>
      </w:pPr>
      <w:r>
        <w:rPr>
          <w:rFonts w:ascii="Calibri" w:cs="Calibri" w:eastAsia="Calibri" w:hAnsi="Calibri"/>
          <w:b/>
          <w:bCs/>
          <w:color w:val="14161B"/>
          <w:sz w:val="20"/>
          <w:szCs w:val="20"/>
        </w:rPr>
        <w:t xml:space="preserve">The cap matters more than the discount</w:t>
      </w:r>
    </w:p>
    <w:p>
      <w:pPr>
        <w:spacing w:after="60" w:line="264"/>
        <w:jc w:val="both"/>
      </w:pPr>
      <w:r>
        <w:rPr>
          <w:rFonts w:ascii="Calibri" w:cs="Calibri" w:eastAsia="Calibri" w:hAnsi="Calibri"/>
          <w:sz w:val="19"/>
          <w:szCs w:val="19"/>
        </w:rPr>
        <w:t xml:space="preserve">Where the next round prices above the cap, the cap determines the conversion price entirely and the discount is irrelevant. Founders focus on the discount because it sounds larger; the cap is what actually decides the dilution in a good outcome.</w:t>
      </w:r>
    </w:p>
    <w:p>
      <w:pPr>
        <w:keepNext/>
        <w:spacing w:after="40" w:before="140"/>
      </w:pPr>
      <w:r>
        <w:rPr>
          <w:rFonts w:ascii="Calibri" w:cs="Calibri" w:eastAsia="Calibri" w:hAnsi="Calibri"/>
          <w:b/>
          <w:bCs/>
          <w:color w:val="14161B"/>
          <w:sz w:val="20"/>
          <w:szCs w:val="20"/>
        </w:rPr>
        <w:t xml:space="preserve">Model the high case</w:t>
      </w:r>
    </w:p>
    <w:p>
      <w:pPr>
        <w:spacing w:after="60" w:line="264"/>
        <w:jc w:val="both"/>
      </w:pPr>
      <w:r>
        <w:rPr>
          <w:rFonts w:ascii="Calibri" w:cs="Calibri" w:eastAsia="Calibri" w:hAnsi="Calibri"/>
          <w:sz w:val="19"/>
          <w:szCs w:val="19"/>
        </w:rPr>
        <w:t xml:space="preserve">A very successful next round means early investors convert at the cap and take substantially more of the company than the headline terms suggest. Section 3 illustrates it. Founders who model only the expected case are consistently surprised.</w:t>
      </w:r>
    </w:p>
    <w:p>
      <w:pPr>
        <w:keepNext/>
        <w:spacing w:after="40" w:before="140"/>
      </w:pPr>
      <w:r>
        <w:rPr>
          <w:rFonts w:ascii="Calibri" w:cs="Calibri" w:eastAsia="Calibri" w:hAnsi="Calibri"/>
          <w:b/>
          <w:bCs/>
          <w:color w:val="14161B"/>
          <w:sz w:val="20"/>
          <w:szCs w:val="20"/>
        </w:rPr>
        <w:t xml:space="preserve">Specify what the cap applies to</w:t>
      </w:r>
    </w:p>
    <w:p>
      <w:pPr>
        <w:spacing w:after="60" w:line="264"/>
        <w:jc w:val="both"/>
      </w:pPr>
      <w:r>
        <w:rPr>
          <w:rFonts w:ascii="Calibri" w:cs="Calibri" w:eastAsia="Calibri" w:hAnsi="Calibri"/>
          <w:sz w:val="19"/>
          <w:szCs w:val="19"/>
        </w:rPr>
        <w:t xml:space="preserve">A cap applied to the pre-money fully diluted capitalisation produces a different price from one applied post-money, or one excluding the option pool. The difference is material and the phrase "valuation cap" alone does not settle it. Define the denominator precisely.</w:t>
      </w:r>
    </w:p>
    <w:p>
      <w:pPr>
        <w:keepNext/>
        <w:spacing w:after="40" w:before="140"/>
      </w:pPr>
      <w:r>
        <w:rPr>
          <w:rFonts w:ascii="Calibri" w:cs="Calibri" w:eastAsia="Calibri" w:hAnsi="Calibri"/>
          <w:b/>
          <w:bCs/>
          <w:color w:val="14161B"/>
          <w:sz w:val="20"/>
          <w:szCs w:val="20"/>
        </w:rPr>
        <w:t xml:space="preserve">Stacking is where the real dilution appears</w:t>
      </w:r>
    </w:p>
    <w:p>
      <w:pPr>
        <w:spacing w:after="60" w:line="264"/>
        <w:jc w:val="both"/>
      </w:pPr>
      <w:r>
        <w:rPr>
          <w:rFonts w:ascii="Calibri" w:cs="Calibri" w:eastAsia="Calibri" w:hAnsi="Calibri"/>
          <w:sz w:val="19"/>
          <w:szCs w:val="19"/>
        </w:rPr>
        <w:t xml:space="preserve">Several instruments at different caps, issued over eighteen months, convert together in the same round. The aggregate is frequently far larger than founders expect from any individual instrument. Maintain the table in Section 6 and update it before issuing another.</w:t>
      </w:r>
    </w:p>
    <w:p>
      <w:pPr>
        <w:keepNext/>
        <w:spacing w:after="40" w:before="140"/>
      </w:pPr>
      <w:r>
        <w:rPr>
          <w:rFonts w:ascii="Calibri" w:cs="Calibri" w:eastAsia="Calibri" w:hAnsi="Calibri"/>
          <w:b/>
          <w:bCs/>
          <w:color w:val="14161B"/>
          <w:sz w:val="20"/>
          <w:szCs w:val="20"/>
        </w:rPr>
        <w:t xml:space="preserve">Set the qualifying financing threshold sensibly</w:t>
      </w:r>
    </w:p>
    <w:p>
      <w:pPr>
        <w:spacing w:after="60" w:line="264"/>
        <w:jc w:val="both"/>
      </w:pPr>
      <w:r>
        <w:rPr>
          <w:rFonts w:ascii="Calibri" w:cs="Calibri" w:eastAsia="Calibri" w:hAnsi="Calibri"/>
          <w:sz w:val="19"/>
          <w:szCs w:val="19"/>
        </w:rPr>
        <w:t xml:space="preserve">Too low, and a small bridge round triggers conversion at a price nobody intended. Too high, and a genuine financing does not trigger conversion at all. Set it at a level that clearly signals a real priced round.</w:t>
      </w:r>
    </w:p>
    <w:p>
      <w:pPr>
        <w:keepNext/>
        <w:spacing w:after="40" w:before="140"/>
      </w:pPr>
      <w:r>
        <w:rPr>
          <w:rFonts w:ascii="Calibri" w:cs="Calibri" w:eastAsia="Calibri" w:hAnsi="Calibri"/>
          <w:b/>
          <w:bCs/>
          <w:color w:val="14161B"/>
          <w:sz w:val="20"/>
          <w:szCs w:val="20"/>
        </w:rPr>
        <w:t xml:space="preserve">Resist consent rights before conversion</w:t>
      </w:r>
    </w:p>
    <w:p>
      <w:pPr>
        <w:spacing w:after="60" w:line="264"/>
        <w:jc w:val="both"/>
      </w:pPr>
      <w:r>
        <w:rPr>
          <w:rFonts w:ascii="Calibri" w:cs="Calibri" w:eastAsia="Calibri" w:hAnsi="Calibri"/>
          <w:sz w:val="19"/>
          <w:szCs w:val="19"/>
        </w:rPr>
        <w:t xml:space="preserve">A holder who is not yet a shareholder should not have veto rights over the company’s operations. Information rights are reasonable; reserved matters are not, and they create a second control layer alongside the eventual equity documents.</w:t>
      </w:r>
    </w:p>
    <w:p>
      <w:pPr>
        <w:keepNext/>
        <w:spacing w:after="40" w:before="140"/>
      </w:pPr>
      <w:r>
        <w:rPr>
          <w:rFonts w:ascii="Calibri" w:cs="Calibri" w:eastAsia="Calibri" w:hAnsi="Calibri"/>
          <w:b/>
          <w:bCs/>
          <w:color w:val="14161B"/>
          <w:sz w:val="20"/>
          <w:szCs w:val="20"/>
        </w:rPr>
        <w:t xml:space="preserve">Decide the change of control outcome now</w:t>
      </w:r>
    </w:p>
    <w:p>
      <w:pPr>
        <w:spacing w:after="60" w:line="264"/>
        <w:jc w:val="both"/>
      </w:pPr>
      <w:r>
        <w:rPr>
          <w:rFonts w:ascii="Calibri" w:cs="Calibri" w:eastAsia="Calibri" w:hAnsi="Calibri"/>
          <w:sz w:val="19"/>
          <w:szCs w:val="19"/>
        </w:rPr>
        <w:t xml:space="preserve">If the company is acquired before conversion, does the investor take their money back, a multiple, or their converted share? Silence produces the most expensive argument in this document. Specify it, and specify whether accrued interest is included.</w:t>
      </w:r>
    </w:p>
    <w:p>
      <w:pPr>
        <w:keepNext/>
        <w:spacing w:after="40" w:before="140"/>
      </w:pPr>
      <w:r>
        <w:rPr>
          <w:rFonts w:ascii="Calibri" w:cs="Calibri" w:eastAsia="Calibri" w:hAnsi="Calibri"/>
          <w:b/>
          <w:bCs/>
          <w:color w:val="14161B"/>
          <w:sz w:val="20"/>
          <w:szCs w:val="20"/>
        </w:rPr>
        <w:t xml:space="preserve">Check the moneylending position for notes</w:t>
      </w:r>
    </w:p>
    <w:p>
      <w:pPr>
        <w:spacing w:after="60" w:line="264"/>
        <w:jc w:val="both"/>
      </w:pPr>
      <w:r>
        <w:rPr>
          <w:rFonts w:ascii="Calibri" w:cs="Calibri" w:eastAsia="Calibri" w:hAnsi="Calibri"/>
          <w:sz w:val="19"/>
          <w:szCs w:val="19"/>
        </w:rPr>
        <w:t xml:space="preserve">A convertible note is a loan. Lending in the course of a moneylending business generally requires a licence, and an unlicensed moneylending contract is unenforceable. Loans to companies are generally excluded, but confirm the basis rather than assuming it.</w:t>
      </w:r>
    </w:p>
    <w:p>
      <w:pPr>
        <w:keepNext/>
        <w:spacing w:after="40" w:before="140"/>
      </w:pPr>
      <w:r>
        <w:rPr>
          <w:rFonts w:ascii="Calibri" w:cs="Calibri" w:eastAsia="Calibri" w:hAnsi="Calibri"/>
          <w:b/>
          <w:bCs/>
          <w:color w:val="14161B"/>
          <w:sz w:val="20"/>
          <w:szCs w:val="20"/>
        </w:rPr>
        <w:t xml:space="preserve">Accruing interest converts into more shares</w:t>
      </w:r>
    </w:p>
    <w:p>
      <w:pPr>
        <w:spacing w:after="60" w:line="264"/>
        <w:jc w:val="both"/>
      </w:pPr>
      <w:r>
        <w:rPr>
          <w:rFonts w:ascii="Calibri" w:cs="Calibri" w:eastAsia="Calibri" w:hAnsi="Calibri"/>
          <w:sz w:val="19"/>
          <w:szCs w:val="19"/>
        </w:rPr>
        <w:t xml:space="preserve">Where interest accrues and converts alongside principal, the dilution is larger than the principal alone suggests, and it grows the longer the next round takes. Founders should model conversion at the realistic date, not the earliest one.</w:t>
      </w:r>
    </w:p>
    <w:p>
      <w:pPr>
        <w:keepNext/>
        <w:spacing w:after="40" w:before="140"/>
      </w:pPr>
      <w:r>
        <w:rPr>
          <w:rFonts w:ascii="Calibri" w:cs="Calibri" w:eastAsia="Calibri" w:hAnsi="Calibri"/>
          <w:b/>
          <w:bCs/>
          <w:color w:val="14161B"/>
          <w:sz w:val="20"/>
          <w:szCs w:val="20"/>
        </w:rPr>
        <w:t xml:space="preserve">Conversion is a real share issue</w:t>
      </w:r>
    </w:p>
    <w:p>
      <w:pPr>
        <w:spacing w:after="60" w:line="264"/>
        <w:jc w:val="both"/>
      </w:pPr>
      <w:r>
        <w:rPr>
          <w:rFonts w:ascii="Calibri" w:cs="Calibri" w:eastAsia="Calibri" w:hAnsi="Calibri"/>
          <w:sz w:val="19"/>
          <w:szCs w:val="19"/>
        </w:rPr>
        <w:t xml:space="preserve">Board resolution, constitution amendment if a new class is created, pre-emption compliance, deed of adherence, register update, return of allotment within fourteen days, and a certificate. Section 7 lists them because companies treat conversion as arithmetic and skip the corporate steps.</w:t>
      </w:r>
    </w:p>
    <w:p>
      <w:pPr>
        <w:keepNext/>
        <w:spacing w:after="40" w:before="140"/>
      </w:pPr>
      <w:r>
        <w:rPr>
          <w:rFonts w:ascii="Calibri" w:cs="Calibri" w:eastAsia="Calibri" w:hAnsi="Calibri"/>
          <w:b/>
          <w:bCs/>
          <w:color w:val="14161B"/>
          <w:sz w:val="20"/>
          <w:szCs w:val="20"/>
        </w:rPr>
        <w:t xml:space="preserve">Tell the team what conversion will do to the pool</w:t>
      </w:r>
    </w:p>
    <w:p>
      <w:pPr>
        <w:spacing w:after="60" w:line="264"/>
        <w:jc w:val="both"/>
      </w:pPr>
      <w:r>
        <w:rPr>
          <w:rFonts w:ascii="Calibri" w:cs="Calibri" w:eastAsia="Calibri" w:hAnsi="Calibri"/>
          <w:sz w:val="19"/>
          <w:szCs w:val="19"/>
        </w:rPr>
        <w:t xml:space="preserve">Employees holding options are diluted by conversion exactly as shareholders are, and they are rarely told. A short explanation before the round closes is better than the question afterwards.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VIMA is periodically updated, market terms move, and requirements under the Companies Act 1967 and the Moneylenders Act change — take legal advice before issuing a convertible instrument, and model the conversion at several valuation levels before agreeing a cap.</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2026-08-22T06:55:31.456Z</dcterms:created>
  <dcterms:modified xsi:type="dcterms:W3CDTF">2026-08-22T06:55:31.456Z</dcterms:modified>
</cp:coreProperties>
</file>

<file path=docProps/custom.xml><?xml version="1.0" encoding="utf-8"?>
<Properties xmlns="http://schemas.openxmlformats.org/officeDocument/2006/custom-properties" xmlns:vt="http://schemas.openxmlformats.org/officeDocument/2006/docPropsVTypes"/>
</file>