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REGISTRABLE CONTROLLERS AND NOMINEE REGISTERS</w:t>
      </w:r>
    </w:p>
    <w:p>
      <w:pPr>
        <w:spacing w:after="260"/>
        <w:jc w:val="center"/>
      </w:pPr>
      <w:r>
        <w:rPr>
          <w:rFonts w:ascii="Calibri" w:cs="Calibri" w:eastAsia="Calibri" w:hAnsi="Calibri"/>
          <w:i/>
          <w:iCs/>
          <w:color w:val="6E7480"/>
          <w:sz w:val="19"/>
          <w:szCs w:val="19"/>
        </w:rPr>
        <w:t xml:space="preserve">RORC, ROND and RONS — registers, notices and central filing</w:t>
      </w:r>
    </w:p>
    <w:p>
      <w:pPr>
        <w:spacing w:after="180" w:before="0" w:line="276"/>
        <w:jc w:val="both"/>
      </w:pPr>
      <w:r>
        <w:rPr>
          <w:rFonts w:ascii="Calibri" w:cs="Calibri" w:eastAsia="Calibri" w:hAnsi="Calibri"/>
          <w:i/>
          <w:iCs/>
          <w:color w:val="6E7480"/>
          <w:sz w:val="21"/>
          <w:szCs w:val="21"/>
        </w:rPr>
        <w:t xml:space="preserve">These registers catch companies out because the obligation is continuing rather than one-off: identify controllers, send notices, keep the register current, and file changes to the central registers. The rules tightened through 2025 and 2026, including a requirement that nominee director appointments made by way of business be arranged through a registered corporate service provider.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Type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[Local company / Foreign company / Limited liability partnership]</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Exempt from RORC?</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 / Yes — state the exemption relied 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RORC kept at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 — registered office or the office of a registered filing agent]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Person responsible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Corporate service provider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registered filing agent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annual verification notices sent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central register filing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THREE REGISTERS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276"/>
        <w:gridCol w:w="2313"/>
        <w:gridCol w:w="1736"/>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Register</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it records</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Who must keep it</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Central filing</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RORC</w:t>
            </w:r>
            <w:r>
              <w:rPr>
                <w:rFonts w:ascii="Calibri" w:cs="Calibri" w:eastAsia="Calibri" w:hAnsi="Calibri"/>
                <w:sz w:val="18"/>
                <w:szCs w:val="18"/>
              </w:rPr>
              <w:t xml:space="preserve"> — Register of Registrable Controllers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Individuals and legal entities with significant interest in, or significant control over, the entity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Companies, foreign companies and limited liability partnerships, unless exempt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File and keep updated at the Central RORC</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ROND</w:t>
            </w:r>
            <w:r>
              <w:rPr>
                <w:rFonts w:ascii="Calibri" w:cs="Calibri" w:eastAsia="Calibri" w:hAnsi="Calibri"/>
                <w:sz w:val="18"/>
                <w:szCs w:val="18"/>
              </w:rPr>
              <w:t xml:space="preserve"> — Register of Nominee Directors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 who are nominees, and their nominators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Companies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File and keep updated at the Central ROND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RONS</w:t>
            </w:r>
            <w:r>
              <w:rPr>
                <w:rFonts w:ascii="Calibri" w:cs="Calibri" w:eastAsia="Calibri" w:hAnsi="Calibri"/>
                <w:sz w:val="18"/>
                <w:szCs w:val="18"/>
              </w:rPr>
              <w:t xml:space="preserve"> — Register of Nominee Shareholders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Shareholders who are nominees, and their nominators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Companies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File and keep updated at the Central RONS</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registers are </w:t>
      </w:r>
      <w:r>
        <w:rPr>
          <w:rFonts w:ascii="Calibri" w:cs="Calibri" w:eastAsia="Calibri" w:hAnsi="Calibri"/>
          <w:b/>
          <w:bCs/>
          <w:sz w:val="21"/>
          <w:szCs w:val="21"/>
        </w:rPr>
        <w:t xml:space="preserve">not public</w:t>
      </w:r>
      <w:r>
        <w:rPr>
          <w:rFonts w:ascii="Calibri" w:cs="Calibri" w:eastAsia="Calibri" w:hAnsi="Calibri"/>
          <w:sz w:val="21"/>
          <w:szCs w:val="21"/>
        </w:rPr>
        <w:t xml:space="preserve">. They must be accurate, current, and available to the authorities and law enforcement on request.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registers are separate and distinct. A person may appear on more than one, and the definitions differ. Recording a nominee director in the RORC does not discharge the ROND obligation.</w:t>
      </w:r>
    </w:p>
    <w:p>
      <w:pPr>
        <w:keepNext/>
        <w:spacing w:after="120" w:before="280"/>
        <w:outlineLvl w:val="0"/>
      </w:pPr>
      <w:r>
        <w:rPr>
          <w:rFonts w:ascii="Calibri" w:cs="Calibri" w:eastAsia="Calibri" w:hAnsi="Calibri"/>
          <w:b/>
          <w:bCs/>
          <w:color w:val="14161B"/>
          <w:sz w:val="22"/>
          <w:szCs w:val="22"/>
        </w:rPr>
        <w:t xml:space="preserve">2. WHO IS A REGISTRABLE CONTROLLER</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A registrable controller is an individual or legal entity that has </w:t>
      </w:r>
      <w:r>
        <w:rPr>
          <w:rFonts w:ascii="Calibri" w:cs="Calibri" w:eastAsia="Calibri" w:hAnsi="Calibri"/>
          <w:b/>
          <w:bCs/>
          <w:sz w:val="21"/>
          <w:szCs w:val="21"/>
        </w:rPr>
        <w:t xml:space="preserve">significant interest</w:t>
      </w:r>
      <w:r>
        <w:rPr>
          <w:rFonts w:ascii="Calibri" w:cs="Calibri" w:eastAsia="Calibri" w:hAnsi="Calibri"/>
          <w:sz w:val="21"/>
          <w:szCs w:val="21"/>
        </w:rPr>
        <w:t xml:space="preserve"> in, or </w:t>
      </w:r>
      <w:r>
        <w:rPr>
          <w:rFonts w:ascii="Calibri" w:cs="Calibri" w:eastAsia="Calibri" w:hAnsi="Calibri"/>
          <w:b/>
          <w:bCs/>
          <w:sz w:val="21"/>
          <w:szCs w:val="21"/>
        </w:rPr>
        <w:t xml:space="preserve">significant control</w:t>
      </w:r>
      <w:r>
        <w:rPr>
          <w:rFonts w:ascii="Calibri" w:cs="Calibri" w:eastAsia="Calibri" w:hAnsi="Calibri"/>
          <w:sz w:val="21"/>
          <w:szCs w:val="21"/>
        </w:rPr>
        <w:t xml:space="preserve"> over, the entity.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Test</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Indicators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Significant interest</w:t>
            </w:r>
            <w:r>
              <w:rPr>
                <w:rFonts w:ascii="Calibri" w:cs="Calibri" w:eastAsia="Calibri" w:hAnsi="Calibri"/>
                <w:sz w:val="18"/>
                <w:szCs w:val="18"/>
              </w:rPr>
              <w:t xml:space="preserve"> — companies with share capital</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Holds, directly or indirectly, more than 25 per cent of the shares; or holds shares with more than 25 per cent of the total voting power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Significant interest</w:t>
            </w:r>
            <w:r>
              <w:rPr>
                <w:rFonts w:ascii="Calibri" w:cs="Calibri" w:eastAsia="Calibri" w:hAnsi="Calibri"/>
                <w:sz w:val="18"/>
                <w:szCs w:val="18"/>
              </w:rPr>
              <w:t xml:space="preserve"> — companies without share capital</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Holds a right to share in more than 25 per cent of the capital or profits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Significant control</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Holds the right to appoint or remove a majority of the directors; holds more than 25 per cent of the voting rights on matters decided by a vote of members; or exercises, or has the right to exercise, significant influence or control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Indirect holdings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Interests held through nominees, trusts, chains of entities or arrangements are counted — the test looks </w:t>
            </w:r>
            <w:r>
              <w:rPr>
                <w:rFonts w:ascii="Calibri" w:cs="Calibri" w:eastAsia="Calibri" w:hAnsi="Calibri"/>
                <w:b/>
                <w:bCs/>
                <w:sz w:val="18"/>
                <w:szCs w:val="18"/>
              </w:rPr>
              <w:t xml:space="preserve">through</w:t>
            </w:r>
            <w:r>
              <w:rPr>
                <w:rFonts w:ascii="Calibri" w:cs="Calibri" w:eastAsia="Calibri" w:hAnsi="Calibri"/>
                <w:sz w:val="18"/>
                <w:szCs w:val="18"/>
              </w:rPr>
              <w:t xml:space="preserve"> structures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Significant influence or control</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May exist without any shareholding, for example through contractual rights, veto powers or the ability to direct decisions in practice</w:t>
            </w:r>
          </w:p>
        </w:tc>
      </w:tr>
    </w:tbl>
    <w:p>
      <w:pPr>
        <w:spacing w:after="140"/>
      </w:pP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The most commonly missed category is significant influence or control exercised without meeting any shareholding threshold. A founder who has transferred shares but retains a veto, or a lender with the right to direct decisions, may be a registrable controller.</w:t>
      </w:r>
    </w:p>
    <w:p>
      <w:pPr>
        <w:keepNext/>
        <w:spacing w:after="120" w:before="280"/>
        <w:outlineLvl w:val="0"/>
      </w:pPr>
      <w:r>
        <w:rPr>
          <w:rFonts w:ascii="Calibri" w:cs="Calibri" w:eastAsia="Calibri" w:hAnsi="Calibri"/>
          <w:b/>
          <w:bCs/>
          <w:color w:val="14161B"/>
          <w:sz w:val="22"/>
          <w:szCs w:val="22"/>
        </w:rPr>
        <w:t xml:space="preserve">3. REASONABLE STEPS AND NOTICES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entity must take reasonable steps to identify its registrable controllers and to obtain and confirm their particulars. Sending the prescribed notices is how reasonable steps are evidenced.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Notices must be sent to any person the entity knows or has reasonable grounds to believe is a registrable controller, and to any person believed to know the identity of one — including nominee directors.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entity must send notices to verify controller particulars </w:t>
      </w:r>
      <w:r>
        <w:rPr>
          <w:rFonts w:ascii="Calibri" w:cs="Calibri" w:eastAsia="Calibri" w:hAnsi="Calibri"/>
          <w:b/>
          <w:bCs/>
          <w:sz w:val="21"/>
          <w:szCs w:val="21"/>
        </w:rPr>
        <w:t xml:space="preserve">at least once each calendar year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A recipient must respond within the period stated in the notice. </w:t>
      </w:r>
      <w:r>
        <w:rPr>
          <w:rFonts w:ascii="Calibri" w:cs="Calibri" w:eastAsia="Calibri" w:hAnsi="Calibri"/>
          <w:b/>
          <w:bCs/>
          <w:sz w:val="21"/>
          <w:szCs w:val="21"/>
        </w:rPr>
        <w:t xml:space="preserve">Failure to respond, or providing false information, is an offence by the recipient</w:t>
      </w:r>
      <w:r>
        <w:rPr>
          <w:rFonts w:ascii="Calibri" w:cs="Calibri" w:eastAsia="Calibri" w:hAnsi="Calibri"/>
          <w:sz w:val="21"/>
          <w:szCs w:val="21"/>
        </w:rPr>
        <w:t xml:space="preserve">, not only by the entity.</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Information received must be entered in the register within the prescribed period, and changes filed with the central register.</w:t>
      </w:r>
    </w:p>
    <w:p>
      <w:pPr>
        <w:keepNext/>
        <w:spacing w:after="120" w:before="280"/>
        <w:outlineLvl w:val="0"/>
      </w:pPr>
      <w:r>
        <w:rPr>
          <w:rFonts w:ascii="Calibri" w:cs="Calibri" w:eastAsia="Calibri" w:hAnsi="Calibri"/>
          <w:b/>
          <w:bCs/>
          <w:color w:val="14161B"/>
          <w:sz w:val="22"/>
          <w:szCs w:val="22"/>
        </w:rPr>
        <w:t xml:space="preserve">4. NOMINEE DIRECTORS AND SHAREHOLDERS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A director is a </w:t>
      </w:r>
      <w:r>
        <w:rPr>
          <w:rFonts w:ascii="Calibri" w:cs="Calibri" w:eastAsia="Calibri" w:hAnsi="Calibri"/>
          <w:b/>
          <w:bCs/>
          <w:sz w:val="21"/>
          <w:szCs w:val="21"/>
        </w:rPr>
        <w:t xml:space="preserve">nominee</w:t>
      </w:r>
      <w:r>
        <w:rPr>
          <w:rFonts w:ascii="Calibri" w:cs="Calibri" w:eastAsia="Calibri" w:hAnsi="Calibri"/>
          <w:sz w:val="21"/>
          <w:szCs w:val="21"/>
        </w:rPr>
        <w:t xml:space="preserve"> where they are accustomed or under an obligation to act in accordance with the directions, instructions or wishes of another person.</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 shareholder is a </w:t>
      </w:r>
      <w:r>
        <w:rPr>
          <w:rFonts w:ascii="Calibri" w:cs="Calibri" w:eastAsia="Calibri" w:hAnsi="Calibri"/>
          <w:b/>
          <w:bCs/>
          <w:sz w:val="21"/>
          <w:szCs w:val="21"/>
        </w:rPr>
        <w:t xml:space="preserve">nominee</w:t>
      </w:r>
      <w:r>
        <w:rPr>
          <w:rFonts w:ascii="Calibri" w:cs="Calibri" w:eastAsia="Calibri" w:hAnsi="Calibri"/>
          <w:sz w:val="21"/>
          <w:szCs w:val="21"/>
        </w:rPr>
        <w:t xml:space="preserve"> where they hold shares on behalf of another person.</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A director must inform the company whether they are a nominee and, if so, of the nominator’s particulars, and must notify any change.</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Nominee director appointments made by way of business must be arranged through a corporate service provider registered with the authority.</w:t>
      </w:r>
      <w:r>
        <w:rPr>
          <w:rFonts w:ascii="Calibri" w:cs="Calibri" w:eastAsia="Calibri" w:hAnsi="Calibri"/>
          <w:sz w:val="21"/>
          <w:szCs w:val="21"/>
        </w:rPr>
        <w:t xml:space="preserve"> An individual who arranges such appointments outside a registered provider commits an offence.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A registered corporate service provider arranging a nominee director appointment must be satisfied that the person is fit and proper and must keep the prescribed records.</w:t>
      </w:r>
    </w:p>
    <w:p>
      <w:pPr>
        <w:spacing w:after="180"/>
      </w:pP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Register of Registrable Controllers</w:t>
      </w:r>
    </w:p>
    <w:p>
      <w:pPr>
        <w:spacing w:after="100" w:before="0" w:line="276"/>
        <w:jc w:val="both"/>
      </w:pPr>
      <w:r>
        <w:rPr>
          <w:rFonts w:ascii="Calibri" w:cs="Calibri" w:eastAsia="Calibri" w:hAnsi="Calibri"/>
          <w:i/>
          <w:iCs/>
          <w:sz w:val="21"/>
          <w:szCs w:val="21"/>
        </w:rPr>
        <w:t xml:space="preserve">Individual controllers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252"/>
        <w:gridCol w:w="771"/>
        <w:gridCol w:w="1734"/>
        <w:gridCol w:w="867"/>
        <w:gridCol w:w="1156"/>
        <w:gridCol w:w="867"/>
        <w:gridCol w:w="963"/>
        <w:gridCol w:w="963"/>
        <w:gridCol w:w="680"/>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Full name</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Aliases</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Residential address</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Nationality</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ID / passport no.</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birth</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became a controller</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Basis</w:t>
            </w:r>
          </w:p>
        </w:tc>
        <w:tc>
          <w:tcPr>
            <w:tcW w:type="dxa" w:w="68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ceased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[ALIAS]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[COUNTRY]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[Interest / Control]</w:t>
            </w:r>
          </w:p>
        </w:tc>
        <w:tc>
          <w:tcPr>
            <w:tcW w:type="dxa" w:w="68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[ALIAS]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[COUNTRY]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[BASIS]</w:t>
            </w:r>
          </w:p>
        </w:tc>
        <w:tc>
          <w:tcPr>
            <w:tcW w:type="dxa" w:w="68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bl>
    <w:p>
      <w:pPr>
        <w:spacing w:after="140"/>
      </w:pPr>
    </w:p>
    <w:p>
      <w:pPr>
        <w:spacing w:after="100" w:before="0" w:line="276"/>
        <w:jc w:val="both"/>
      </w:pPr>
      <w:r>
        <w:rPr>
          <w:rFonts w:ascii="Calibri" w:cs="Calibri" w:eastAsia="Calibri" w:hAnsi="Calibri"/>
          <w:i/>
          <w:iCs/>
          <w:sz w:val="21"/>
          <w:szCs w:val="21"/>
        </w:rPr>
        <w:t xml:space="preserve">Corporate controllers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445"/>
        <w:gridCol w:w="1927"/>
        <w:gridCol w:w="1252"/>
        <w:gridCol w:w="1156"/>
        <w:gridCol w:w="1060"/>
        <w:gridCol w:w="1060"/>
        <w:gridCol w:w="867"/>
        <w:gridCol w:w="486"/>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Registered office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Place of incorporation</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Registration no.</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Registry</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became a controller</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Basis</w:t>
            </w:r>
          </w:p>
        </w:tc>
        <w:tc>
          <w:tcPr>
            <w:tcW w:type="dxa" w:w="48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ceased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[COUNTRY]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[REGISTRY]</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[Interest / Control]</w:t>
            </w:r>
          </w:p>
        </w:tc>
        <w:tc>
          <w:tcPr>
            <w:tcW w:type="dxa" w:w="48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[COUNTRY]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[REGISTRY]</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[BASIS]</w:t>
            </w:r>
          </w:p>
        </w:tc>
        <w:tc>
          <w:tcPr>
            <w:tcW w:type="dxa" w:w="48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Register of Nominee Directors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445"/>
        <w:gridCol w:w="963"/>
        <w:gridCol w:w="771"/>
        <w:gridCol w:w="1060"/>
        <w:gridCol w:w="1349"/>
        <w:gridCol w:w="1734"/>
        <w:gridCol w:w="1349"/>
        <w:gridCol w:w="582"/>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Director name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ID no.</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Nominee?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became nominee</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Nominator name</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Nominator address</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Nominator ID / registration</w:t>
            </w:r>
          </w:p>
        </w:tc>
        <w:tc>
          <w:tcPr>
            <w:tcW w:type="dxa" w:w="5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ceased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[Yes/No]</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58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[Yes/No]</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58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Register of Nominee Shareholders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542"/>
        <w:gridCol w:w="1156"/>
        <w:gridCol w:w="867"/>
        <w:gridCol w:w="1060"/>
        <w:gridCol w:w="1349"/>
        <w:gridCol w:w="1638"/>
        <w:gridCol w:w="1060"/>
        <w:gridCol w:w="581"/>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Shareholder name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ID / registration no.</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Shares held</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became nominee</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Nominator name</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Nominator address</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Nominator ID</w:t>
            </w:r>
          </w:p>
        </w:tc>
        <w:tc>
          <w:tcPr>
            <w:tcW w:type="dxa" w:w="5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ceased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58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58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D</w:t>
      </w:r>
    </w:p>
    <w:p>
      <w:pPr>
        <w:spacing w:after="260"/>
        <w:jc w:val="center"/>
      </w:pPr>
      <w:r>
        <w:rPr>
          <w:rFonts w:ascii="Calibri" w:cs="Calibri" w:eastAsia="Calibri" w:hAnsi="Calibri"/>
          <w:i/>
          <w:iCs/>
          <w:color w:val="6E7480"/>
          <w:sz w:val="19"/>
          <w:szCs w:val="19"/>
        </w:rPr>
        <w:t xml:space="preserve">Notice to a Suspected Registrable Controller</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sz w:val="21"/>
          <w:szCs w:val="21"/>
        </w:rPr>
        <w:t xml:space="preserve">To: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[ADDRESS]</w:t>
      </w:r>
    </w:p>
    <w:p>
      <w:pPr>
        <w:spacing w:after="140" w:before="0" w:line="276"/>
        <w:jc w:val="both"/>
      </w:pPr>
      <w:r>
        <w:rPr>
          <w:rFonts w:ascii="Calibri" w:cs="Calibri" w:eastAsia="Calibri" w:hAnsi="Calibri"/>
          <w:b/>
          <w:bCs/>
          <w:sz w:val="21"/>
          <w:szCs w:val="21"/>
        </w:rPr>
        <w:t xml:space="preserve">Notice under the Companies Act 1967 — register of registrable controllers</w:t>
      </w:r>
    </w:p>
    <w:p>
      <w:pPr>
        <w:spacing w:after="120" w:before="0" w:line="276"/>
        <w:jc w:val="both"/>
      </w:pPr>
      <w:r>
        <w:rPr>
          <w:rFonts w:ascii="Calibri" w:cs="Calibri" w:eastAsia="Calibri" w:hAnsi="Calibri"/>
          <w:sz w:val="21"/>
          <w:szCs w:val="21"/>
        </w:rPr>
        <w:t xml:space="preserve">The Company is required to keep a register of its registrable controllers and to take reasonable steps to identify them. The Company </w:t>
      </w:r>
      <w:r>
        <w:rPr>
          <w:rFonts w:ascii="Calibri" w:cs="Calibri" w:eastAsia="Calibri" w:hAnsi="Calibri"/>
          <w:b/>
          <w:bCs/>
          <w:sz w:val="21"/>
          <w:szCs w:val="21"/>
        </w:rPr>
        <w:t xml:space="preserve">knows or has reasonable grounds to believe</w:t>
      </w:r>
      <w:r>
        <w:rPr>
          <w:rFonts w:ascii="Calibri" w:cs="Calibri" w:eastAsia="Calibri" w:hAnsi="Calibri"/>
          <w:sz w:val="21"/>
          <w:szCs w:val="21"/>
        </w:rPr>
        <w:t xml:space="preserve"> that you are a registrable controller of the Company, or that you know the identity of one.</w:t>
      </w:r>
    </w:p>
    <w:p>
      <w:pPr>
        <w:spacing w:after="100" w:before="0" w:line="276"/>
        <w:jc w:val="both"/>
      </w:pPr>
      <w:r>
        <w:rPr>
          <w:rFonts w:ascii="Calibri" w:cs="Calibri" w:eastAsia="Calibri" w:hAnsi="Calibri"/>
          <w:sz w:val="21"/>
          <w:szCs w:val="21"/>
        </w:rPr>
        <w:t xml:space="preserve">You are required to state within </w:t>
      </w:r>
      <w:r>
        <w:rPr>
          <w:rFonts w:ascii="Calibri" w:cs="Calibri" w:eastAsia="Calibri" w:hAnsi="Calibri"/>
          <w:b/>
          <w:bCs/>
          <w:sz w:val="21"/>
          <w:szCs w:val="21"/>
        </w:rPr>
        <w:t xml:space="preserve">[30]</w:t>
      </w:r>
      <w:r>
        <w:rPr>
          <w:rFonts w:ascii="Calibri" w:cs="Calibri" w:eastAsia="Calibri" w:hAnsi="Calibri"/>
          <w:b/>
          <w:bCs/>
          <w:sz w:val="21"/>
          <w:szCs w:val="21"/>
        </w:rPr>
        <w:t xml:space="preserve"> days</w:t>
      </w:r>
      <w:r>
        <w:rPr>
          <w:rFonts w:ascii="Calibri" w:cs="Calibri" w:eastAsia="Calibri" w:hAnsi="Calibri"/>
          <w:sz w:val="21"/>
          <w:szCs w:val="21"/>
        </w:rPr>
        <w:t xml:space="preserve"> of this notice: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whether you are a registrable controller of the Company;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if you are, to confirm or correct the particulars set out in the Schedule to this notice, and to supply any missing particulars;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if you are not, whether you know or have reason to believe that any other person is a registrable controller, and that person’s particulars so far as known to you;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date on which you became, or ceased to be, a registrable controller.</w:t>
      </w:r>
    </w:p>
    <w:p>
      <w:pPr>
        <w:spacing w:after="120" w:before="120" w:line="276"/>
        <w:jc w:val="both"/>
      </w:pPr>
      <w:r>
        <w:rPr>
          <w:rFonts w:ascii="Calibri" w:cs="Calibri" w:eastAsia="Calibri" w:hAnsi="Calibri"/>
          <w:b/>
          <w:bCs/>
          <w:sz w:val="21"/>
          <w:szCs w:val="21"/>
        </w:rPr>
        <w:t xml:space="preserve">It is an offence</w:t>
      </w:r>
      <w:r>
        <w:rPr>
          <w:rFonts w:ascii="Calibri" w:cs="Calibri" w:eastAsia="Calibri" w:hAnsi="Calibri"/>
          <w:sz w:val="21"/>
          <w:szCs w:val="21"/>
        </w:rPr>
        <w:t xml:space="preserve"> to fail without reasonable excuse to comply with this notice within the period stated, or to make a statement that is false or misleading in a material particular.</w:t>
      </w:r>
    </w:p>
    <w:p>
      <w:pPr>
        <w:spacing w:after="120" w:before="0" w:line="276"/>
        <w:jc w:val="both"/>
      </w:pPr>
      <w:r>
        <w:rPr>
          <w:rFonts w:ascii="Calibri" w:cs="Calibri" w:eastAsia="Calibri" w:hAnsi="Calibri"/>
          <w:sz w:val="21"/>
          <w:szCs w:val="21"/>
        </w:rPr>
        <w:t xml:space="preserve">The register is not open to public inspection. The particulars are kept for the purpose of the statutory register and are disclosed only to the authorities and law enforcement as permitted by law, and are handled in accordance with the Personal Data Protection Act 2012.</w:t>
      </w:r>
    </w:p>
    <w:p>
      <w:pPr>
        <w:spacing w:after="160" w:before="0" w:line="276"/>
        <w:jc w:val="both"/>
      </w:pPr>
      <w:r>
        <w:rPr>
          <w:rFonts w:ascii="Calibri" w:cs="Calibri" w:eastAsia="Calibri" w:hAnsi="Calibri"/>
          <w:sz w:val="21"/>
          <w:szCs w:val="21"/>
        </w:rPr>
        <w:t xml:space="preserve">Please respond to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or by post to the address above.</w:t>
      </w:r>
    </w:p>
    <w:p>
      <w:pPr>
        <w:spacing w:after="180" w:before="0" w:line="276"/>
        <w:jc w:val="both"/>
      </w:pPr>
      <w:r>
        <w:rPr>
          <w:rFonts w:ascii="Calibri" w:cs="Calibri" w:eastAsia="Calibri" w:hAnsi="Calibri"/>
          <w:sz w:val="21"/>
          <w:szCs w:val="21"/>
        </w:rPr>
        <w:t xml:space="preserve">Yours faithfully,  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[Director / Company Secretary]</w:t>
      </w:r>
    </w:p>
    <w:p>
      <w:pPr>
        <w:spacing w:after="60" w:before="240"/>
        <w:jc w:val="center"/>
      </w:pPr>
      <w:r>
        <w:rPr>
          <w:rFonts w:ascii="Calibri" w:cs="Calibri" w:eastAsia="Calibri" w:hAnsi="Calibri"/>
          <w:b/>
          <w:bCs/>
          <w:color w:val="14161B"/>
          <w:spacing w:val="12"/>
          <w:sz w:val="28"/>
          <w:szCs w:val="28"/>
        </w:rPr>
        <w:t xml:space="preserve">ANNEXURE E</w:t>
      </w:r>
    </w:p>
    <w:p>
      <w:pPr>
        <w:spacing w:after="260"/>
        <w:jc w:val="center"/>
      </w:pPr>
      <w:r>
        <w:rPr>
          <w:rFonts w:ascii="Calibri" w:cs="Calibri" w:eastAsia="Calibri" w:hAnsi="Calibri"/>
          <w:i/>
          <w:iCs/>
          <w:color w:val="6E7480"/>
          <w:sz w:val="19"/>
          <w:szCs w:val="19"/>
        </w:rPr>
        <w:t xml:space="preserve">Annual Verification Notice</w:t>
      </w:r>
    </w:p>
    <w:p>
      <w:pPr>
        <w:spacing w:after="12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sz w:val="21"/>
          <w:szCs w:val="21"/>
        </w:rPr>
        <w:t xml:space="preserve">To: </w:t>
      </w:r>
      <w:r>
        <w:rPr>
          <w:rFonts w:ascii="Calibri" w:cs="Calibri" w:eastAsia="Calibri" w:hAnsi="Calibri"/>
          <w:b/>
          <w:bCs/>
          <w:sz w:val="21"/>
          <w:szCs w:val="21"/>
        </w:rPr>
        <w:t xml:space="preserve">[NAME]</w:t>
      </w:r>
      <w:r>
        <w:rPr>
          <w:rFonts w:ascii="Calibri" w:cs="Calibri" w:eastAsia="Calibri" w:hAnsi="Calibri"/>
          <w:sz w:val="21"/>
          <w:szCs w:val="21"/>
        </w:rPr>
        <w:t xml:space="preserve">, recorded as a registrable controller of the Company</w:t>
      </w:r>
    </w:p>
    <w:p>
      <w:pPr>
        <w:spacing w:after="120" w:before="0" w:line="276"/>
        <w:jc w:val="both"/>
      </w:pPr>
      <w:r>
        <w:rPr>
          <w:rFonts w:ascii="Calibri" w:cs="Calibri" w:eastAsia="Calibri" w:hAnsi="Calibri"/>
          <w:sz w:val="21"/>
          <w:szCs w:val="21"/>
        </w:rPr>
        <w:t xml:space="preserve">The Company is required to send you a notice at least once each calendar year to verify the particulars recorded in its register of registrable controllers.</w:t>
      </w:r>
    </w:p>
    <w:p>
      <w:pPr>
        <w:spacing w:after="120" w:before="0" w:line="276"/>
        <w:jc w:val="both"/>
      </w:pPr>
      <w:r>
        <w:rPr>
          <w:rFonts w:ascii="Calibri" w:cs="Calibri" w:eastAsia="Calibri" w:hAnsi="Calibri"/>
          <w:sz w:val="21"/>
          <w:szCs w:val="21"/>
        </w:rPr>
        <w:t xml:space="preserve">The particulars currently recorded are set out below. Please confirm within </w:t>
      </w:r>
      <w:r>
        <w:rPr>
          <w:rFonts w:ascii="Calibri" w:cs="Calibri" w:eastAsia="Calibri" w:hAnsi="Calibri"/>
          <w:b/>
          <w:bCs/>
          <w:sz w:val="21"/>
          <w:szCs w:val="21"/>
        </w:rPr>
        <w:t xml:space="preserve">[30]</w:t>
      </w:r>
      <w:r>
        <w:rPr>
          <w:rFonts w:ascii="Calibri" w:cs="Calibri" w:eastAsia="Calibri" w:hAnsi="Calibri"/>
          <w:b/>
          <w:bCs/>
          <w:sz w:val="21"/>
          <w:szCs w:val="21"/>
        </w:rPr>
        <w:t xml:space="preserve"> days</w:t>
      </w:r>
      <w:r>
        <w:rPr>
          <w:rFonts w:ascii="Calibri" w:cs="Calibri" w:eastAsia="Calibri" w:hAnsi="Calibri"/>
          <w:sz w:val="21"/>
          <w:szCs w:val="21"/>
        </w:rPr>
        <w:t xml:space="preserve"> that they remain correct, or notify any change.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4626"/>
        <w:gridCol w:w="1736"/>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Particular</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As recorded</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Correct?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Full name</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Aliases</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[ALIAS]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Residential address</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Nationality</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[COUNTRY]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Identification number</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of birth</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became a registrable controller</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Basis on which registrable</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40"/>
      </w:pPr>
    </w:p>
    <w:p>
      <w:pPr>
        <w:spacing w:after="160" w:before="0" w:line="276"/>
        <w:jc w:val="both"/>
      </w:pPr>
      <w:r>
        <w:rPr>
          <w:rFonts w:ascii="Calibri" w:cs="Calibri" w:eastAsia="Calibri" w:hAnsi="Calibri"/>
          <w:sz w:val="21"/>
          <w:szCs w:val="21"/>
        </w:rPr>
        <w:t xml:space="preserve">Failure to respond without reasonable excuse, or providing false information, is an offence.</w:t>
      </w:r>
    </w:p>
    <w:p>
      <w:pPr>
        <w:spacing w:after="180" w:before="0" w:line="276"/>
        <w:jc w:val="both"/>
      </w:pPr>
      <w:r>
        <w:rPr>
          <w:rFonts w:ascii="Calibri" w:cs="Calibri" w:eastAsia="Calibri" w:hAnsi="Calibri"/>
          <w:sz w:val="21"/>
          <w:szCs w:val="21"/>
        </w:rPr>
        <w:t xml:space="preserve">Yours faithfully,  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p>
    <w:p>
      <w:pPr>
        <w:spacing w:after="60" w:before="240"/>
        <w:jc w:val="center"/>
      </w:pPr>
      <w:r>
        <w:rPr>
          <w:rFonts w:ascii="Calibri" w:cs="Calibri" w:eastAsia="Calibri" w:hAnsi="Calibri"/>
          <w:b/>
          <w:bCs/>
          <w:color w:val="14161B"/>
          <w:spacing w:val="12"/>
          <w:sz w:val="28"/>
          <w:szCs w:val="28"/>
        </w:rPr>
        <w:t xml:space="preserve">ANNEXURE F</w:t>
      </w:r>
    </w:p>
    <w:p>
      <w:pPr>
        <w:spacing w:after="260"/>
        <w:jc w:val="center"/>
      </w:pPr>
      <w:r>
        <w:rPr>
          <w:rFonts w:ascii="Calibri" w:cs="Calibri" w:eastAsia="Calibri" w:hAnsi="Calibri"/>
          <w:i/>
          <w:iCs/>
          <w:color w:val="6E7480"/>
          <w:sz w:val="19"/>
          <w:szCs w:val="19"/>
        </w:rPr>
        <w:t xml:space="preserve">Compliance Calendar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819"/>
        <w:gridCol w:w="2698"/>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Obligation</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RORC set up within the period required after incorporation or registration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incorporation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Reasonable steps taken to identify controllers; notices sent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incorporation and on change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Particulars entered in the register within the prescribed period of receipt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receipt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Information filed with the Central RORC</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set-up and on change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verification notices sent to all recorded controllers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At least once each calendar year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ROND maintained; directors asked whether they are nominees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appointment and on change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RONS maintained; shareholders asked whether they are nominees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registration and on change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ROND and RONS information filed with the central registers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set-up and on change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Nominee director appointments by way of business arranged through a </w:t>
            </w:r>
            <w:r>
              <w:rPr>
                <w:rFonts w:ascii="Calibri" w:cs="Calibri" w:eastAsia="Calibri" w:hAnsi="Calibri"/>
                <w:b/>
                <w:bCs/>
                <w:sz w:val="18"/>
                <w:szCs w:val="18"/>
              </w:rPr>
              <w:t xml:space="preserve">registered corporate service provider</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appointment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Location of the RORC declared in the annual return or annual declaration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Registers reviewed on any change in shareholding, control or board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change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Registers retained for the prescribed period after the entity ceases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cessation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is a continuing obligation, not a formality at incorporation</w:t>
      </w:r>
    </w:p>
    <w:p>
      <w:pPr>
        <w:spacing w:after="60" w:line="264"/>
        <w:jc w:val="both"/>
      </w:pPr>
      <w:r>
        <w:rPr>
          <w:rFonts w:ascii="Calibri" w:cs="Calibri" w:eastAsia="Calibri" w:hAnsi="Calibri"/>
          <w:sz w:val="19"/>
          <w:szCs w:val="19"/>
        </w:rPr>
        <w:t xml:space="preserve">Most breaches arise not because a company never set up the register, but because it set one up and never touched it again. Controllers change, addresses change, and the annual verification notice is due every calendar year. Item 5 of the compliance calendar is the single most commonly missed obligation in this area.</w:t>
      </w:r>
    </w:p>
    <w:p>
      <w:pPr>
        <w:keepNext/>
        <w:spacing w:after="40" w:before="140"/>
      </w:pPr>
      <w:r>
        <w:rPr>
          <w:rFonts w:ascii="Calibri" w:cs="Calibri" w:eastAsia="Calibri" w:hAnsi="Calibri"/>
          <w:b/>
          <w:bCs/>
          <w:color w:val="14161B"/>
          <w:sz w:val="20"/>
          <w:szCs w:val="20"/>
        </w:rPr>
        <w:t xml:space="preserve">Central filing is now the substantive step</w:t>
      </w:r>
    </w:p>
    <w:p>
      <w:pPr>
        <w:spacing w:after="60" w:line="264"/>
        <w:jc w:val="both"/>
      </w:pPr>
      <w:r>
        <w:rPr>
          <w:rFonts w:ascii="Calibri" w:cs="Calibri" w:eastAsia="Calibri" w:hAnsi="Calibri"/>
          <w:sz w:val="19"/>
          <w:szCs w:val="19"/>
        </w:rPr>
        <w:t xml:space="preserve">Amendments in force from 2025 require information in these registers to be filed with the authority’s central registers, and kept updated there. Maintaining a beautiful register at the registered office while filing nothing centrally no longer satisfies the requirement. Confirm what has actually been filed, not what has been recorded.</w:t>
      </w:r>
    </w:p>
    <w:p>
      <w:pPr>
        <w:keepNext/>
        <w:spacing w:after="40" w:before="140"/>
      </w:pPr>
      <w:r>
        <w:rPr>
          <w:rFonts w:ascii="Calibri" w:cs="Calibri" w:eastAsia="Calibri" w:hAnsi="Calibri"/>
          <w:b/>
          <w:bCs/>
          <w:color w:val="14161B"/>
          <w:sz w:val="20"/>
          <w:szCs w:val="20"/>
        </w:rPr>
        <w:t xml:space="preserve">Nominee director appointments must go through a registered provider</w:t>
      </w:r>
    </w:p>
    <w:p>
      <w:pPr>
        <w:spacing w:after="60" w:line="264"/>
        <w:jc w:val="both"/>
      </w:pPr>
      <w:r>
        <w:rPr>
          <w:rFonts w:ascii="Calibri" w:cs="Calibri" w:eastAsia="Calibri" w:hAnsi="Calibri"/>
          <w:sz w:val="19"/>
          <w:szCs w:val="19"/>
        </w:rPr>
        <w:t xml:space="preserve">From 9 June 2025, nominee director appointments made by way of business must be arranged through a corporate service provider registered with the authority, and arranging them outside one is an offence carrying a substantial fine. This affects the common arrangement where a foreign-owned company obtains a resident director informally through a contact. Check how any existing nominee arrangement was set up.</w:t>
      </w:r>
    </w:p>
    <w:p>
      <w:pPr>
        <w:keepNext/>
        <w:spacing w:after="40" w:before="140"/>
      </w:pPr>
      <w:r>
        <w:rPr>
          <w:rFonts w:ascii="Calibri" w:cs="Calibri" w:eastAsia="Calibri" w:hAnsi="Calibri"/>
          <w:b/>
          <w:bCs/>
          <w:color w:val="14161B"/>
          <w:sz w:val="20"/>
          <w:szCs w:val="20"/>
        </w:rPr>
        <w:t xml:space="preserve">Look through structures, not at the share register</w:t>
      </w:r>
    </w:p>
    <w:p>
      <w:pPr>
        <w:spacing w:after="60" w:line="264"/>
        <w:jc w:val="both"/>
      </w:pPr>
      <w:r>
        <w:rPr>
          <w:rFonts w:ascii="Calibri" w:cs="Calibri" w:eastAsia="Calibri" w:hAnsi="Calibri"/>
          <w:sz w:val="19"/>
          <w:szCs w:val="19"/>
        </w:rPr>
        <w:t xml:space="preserve">Significant interest is tested on direct </w:t>
      </w:r>
      <w:r>
        <w:rPr>
          <w:rFonts w:ascii="Calibri" w:cs="Calibri" w:eastAsia="Calibri" w:hAnsi="Calibri"/>
          <w:b/>
          <w:bCs/>
          <w:sz w:val="19"/>
          <w:szCs w:val="19"/>
        </w:rPr>
        <w:t xml:space="preserve">and indirect</w:t>
      </w:r>
      <w:r>
        <w:rPr>
          <w:rFonts w:ascii="Calibri" w:cs="Calibri" w:eastAsia="Calibri" w:hAnsi="Calibri"/>
          <w:sz w:val="19"/>
          <w:szCs w:val="19"/>
        </w:rPr>
        <w:t xml:space="preserve"> holdings, including through nominees, trusts and chains of entities. Listing the registered shareholders is not identification of controllers. Where a corporate shareholder is itself owned by individuals, the analysis continues upward until individuals or exempt entities are reached.</w:t>
      </w:r>
    </w:p>
    <w:p>
      <w:pPr>
        <w:keepNext/>
        <w:spacing w:after="40" w:before="140"/>
      </w:pPr>
      <w:r>
        <w:rPr>
          <w:rFonts w:ascii="Calibri" w:cs="Calibri" w:eastAsia="Calibri" w:hAnsi="Calibri"/>
          <w:b/>
          <w:bCs/>
          <w:color w:val="14161B"/>
          <w:sz w:val="20"/>
          <w:szCs w:val="20"/>
        </w:rPr>
        <w:t xml:space="preserve">Significant influence or control needs no shareholding</w:t>
      </w:r>
    </w:p>
    <w:p>
      <w:pPr>
        <w:spacing w:after="60" w:line="264"/>
        <w:jc w:val="both"/>
      </w:pPr>
      <w:r>
        <w:rPr>
          <w:rFonts w:ascii="Calibri" w:cs="Calibri" w:eastAsia="Calibri" w:hAnsi="Calibri"/>
          <w:sz w:val="19"/>
          <w:szCs w:val="19"/>
        </w:rPr>
        <w:t xml:space="preserve">A person may be a registrable controller with no shares at all — through a right to appoint or remove a majority of directors, a veto over key decisions, or the ability to direct decisions in practice. Founders who have diluted but retained control rights, and lenders with far-reaching covenants, are the categories most often overlooked.</w:t>
      </w:r>
    </w:p>
    <w:p>
      <w:pPr>
        <w:keepNext/>
        <w:spacing w:after="40" w:before="140"/>
      </w:pPr>
      <w:r>
        <w:rPr>
          <w:rFonts w:ascii="Calibri" w:cs="Calibri" w:eastAsia="Calibri" w:hAnsi="Calibri"/>
          <w:b/>
          <w:bCs/>
          <w:color w:val="14161B"/>
          <w:sz w:val="20"/>
          <w:szCs w:val="20"/>
        </w:rPr>
        <w:t xml:space="preserve">The notice is how you evidence reasonable steps</w:t>
      </w:r>
    </w:p>
    <w:p>
      <w:pPr>
        <w:spacing w:after="60" w:line="264"/>
        <w:jc w:val="both"/>
      </w:pPr>
      <w:r>
        <w:rPr>
          <w:rFonts w:ascii="Calibri" w:cs="Calibri" w:eastAsia="Calibri" w:hAnsi="Calibri"/>
          <w:sz w:val="19"/>
          <w:szCs w:val="19"/>
        </w:rPr>
        <w:t xml:space="preserve">The obligation is to take reasonable steps. Sending the prescribed notices, and keeping the responses, is what demonstrates that. An entity that "knew" who its controllers were but never issued notices has no evidence of having taken steps, whatever the register says.</w:t>
      </w:r>
    </w:p>
    <w:p>
      <w:pPr>
        <w:keepNext/>
        <w:spacing w:after="40" w:before="140"/>
      </w:pPr>
      <w:r>
        <w:rPr>
          <w:rFonts w:ascii="Calibri" w:cs="Calibri" w:eastAsia="Calibri" w:hAnsi="Calibri"/>
          <w:b/>
          <w:bCs/>
          <w:color w:val="14161B"/>
          <w:sz w:val="20"/>
          <w:szCs w:val="20"/>
        </w:rPr>
        <w:t xml:space="preserve">Recipients commit an offence too</w:t>
      </w:r>
    </w:p>
    <w:p>
      <w:pPr>
        <w:spacing w:after="60" w:line="264"/>
        <w:jc w:val="both"/>
      </w:pPr>
      <w:r>
        <w:rPr>
          <w:rFonts w:ascii="Calibri" w:cs="Calibri" w:eastAsia="Calibri" w:hAnsi="Calibri"/>
          <w:sz w:val="19"/>
          <w:szCs w:val="19"/>
        </w:rPr>
        <w:t xml:space="preserve">Failure to respond without reasonable excuse, or supplying false or misleading information, is an offence by the recipient. Annexure D states this expressly, and stating it materially improves response rates from reluctant recipients.</w:t>
      </w:r>
    </w:p>
    <w:p>
      <w:pPr>
        <w:keepNext/>
        <w:spacing w:after="40" w:before="140"/>
      </w:pPr>
      <w:r>
        <w:rPr>
          <w:rFonts w:ascii="Calibri" w:cs="Calibri" w:eastAsia="Calibri" w:hAnsi="Calibri"/>
          <w:b/>
          <w:bCs/>
          <w:color w:val="14161B"/>
          <w:sz w:val="20"/>
          <w:szCs w:val="20"/>
        </w:rPr>
        <w:t xml:space="preserve">The three registers are distinct</w:t>
      </w:r>
    </w:p>
    <w:p>
      <w:pPr>
        <w:spacing w:after="60" w:line="264"/>
        <w:jc w:val="both"/>
      </w:pPr>
      <w:r>
        <w:rPr>
          <w:rFonts w:ascii="Calibri" w:cs="Calibri" w:eastAsia="Calibri" w:hAnsi="Calibri"/>
          <w:sz w:val="19"/>
          <w:szCs w:val="19"/>
        </w:rPr>
        <w:t xml:space="preserve">A nominee director appears in the ROND. A nominee shareholder appears in the RONS. A controller appears in the RORC. The definitions differ and one entry does not satisfy another obligation. Companies with a nominee arrangement frequently maintain one register and assume it covers the position.</w:t>
      </w:r>
    </w:p>
    <w:p>
      <w:pPr>
        <w:keepNext/>
        <w:spacing w:after="40" w:before="140"/>
      </w:pPr>
      <w:r>
        <w:rPr>
          <w:rFonts w:ascii="Calibri" w:cs="Calibri" w:eastAsia="Calibri" w:hAnsi="Calibri"/>
          <w:b/>
          <w:bCs/>
          <w:color w:val="14161B"/>
          <w:sz w:val="20"/>
          <w:szCs w:val="20"/>
        </w:rPr>
        <w:t xml:space="preserve">Exemptions are narrow</w:t>
      </w:r>
    </w:p>
    <w:p>
      <w:pPr>
        <w:spacing w:after="60" w:line="264"/>
        <w:jc w:val="both"/>
      </w:pPr>
      <w:r>
        <w:rPr>
          <w:rFonts w:ascii="Calibri" w:cs="Calibri" w:eastAsia="Calibri" w:hAnsi="Calibri"/>
          <w:sz w:val="19"/>
          <w:szCs w:val="19"/>
        </w:rPr>
        <w:t xml:space="preserve">Certain entities are exempt from the RORC — listed companies, Singapore financial institutions, entities wholly owned by certain statutory bodies, and their wholly owned subsidiaries, among others. The exemptions are specific. Where one is relied on, identify it by reference to the relevant schedule and record the basis; do not assume an exemption because the group is large or regulated.</w:t>
      </w:r>
    </w:p>
    <w:p>
      <w:pPr>
        <w:keepNext/>
        <w:spacing w:after="40" w:before="140"/>
      </w:pPr>
      <w:r>
        <w:rPr>
          <w:rFonts w:ascii="Calibri" w:cs="Calibri" w:eastAsia="Calibri" w:hAnsi="Calibri"/>
          <w:b/>
          <w:bCs/>
          <w:color w:val="14161B"/>
          <w:sz w:val="20"/>
          <w:szCs w:val="20"/>
        </w:rPr>
        <w:t xml:space="preserve">Not public, but not private either</w:t>
      </w:r>
    </w:p>
    <w:p>
      <w:pPr>
        <w:spacing w:after="60" w:line="264"/>
        <w:jc w:val="both"/>
      </w:pPr>
      <w:r>
        <w:rPr>
          <w:rFonts w:ascii="Calibri" w:cs="Calibri" w:eastAsia="Calibri" w:hAnsi="Calibri"/>
          <w:sz w:val="19"/>
          <w:szCs w:val="19"/>
        </w:rPr>
        <w:t xml:space="preserve">The registers are not open to public inspection, which leads some companies to treat them casually. They must be produced to the authorities and to law enforcement on request, and are a standard item in due diligence, in bank onboarding and in anti-money-laundering checks. An incomplete register surfaces at the worst moment in a transaction.</w:t>
      </w:r>
    </w:p>
    <w:p>
      <w:pPr>
        <w:keepNext/>
        <w:spacing w:after="40" w:before="140"/>
      </w:pPr>
      <w:r>
        <w:rPr>
          <w:rFonts w:ascii="Calibri" w:cs="Calibri" w:eastAsia="Calibri" w:hAnsi="Calibri"/>
          <w:b/>
          <w:bCs/>
          <w:color w:val="14161B"/>
          <w:sz w:val="20"/>
          <w:szCs w:val="20"/>
        </w:rPr>
        <w:t xml:space="preserve">Where the register is kept matters</w:t>
      </w:r>
    </w:p>
    <w:p>
      <w:pPr>
        <w:spacing w:after="60" w:line="264"/>
        <w:jc w:val="both"/>
      </w:pPr>
      <w:r>
        <w:rPr>
          <w:rFonts w:ascii="Calibri" w:cs="Calibri" w:eastAsia="Calibri" w:hAnsi="Calibri"/>
          <w:sz w:val="19"/>
          <w:szCs w:val="19"/>
        </w:rPr>
        <w:t xml:space="preserve">The register may be kept at the registered office or at the office of a registered filing agent, and the location must be declared in the annual return or annual declaration. Where a corporate service provider maintains it, confirm they are actually doing the annual notices rather than assuming it is included in the fee.</w:t>
      </w:r>
    </w:p>
    <w:p>
      <w:pPr>
        <w:keepNext/>
        <w:spacing w:after="40" w:before="140"/>
      </w:pPr>
      <w:r>
        <w:rPr>
          <w:rFonts w:ascii="Calibri" w:cs="Calibri" w:eastAsia="Calibri" w:hAnsi="Calibri"/>
          <w:b/>
          <w:bCs/>
          <w:color w:val="14161B"/>
          <w:sz w:val="20"/>
          <w:szCs w:val="20"/>
        </w:rPr>
        <w:t xml:space="preserve">Review on every change</w:t>
      </w:r>
    </w:p>
    <w:p>
      <w:pPr>
        <w:spacing w:after="60" w:line="264"/>
        <w:jc w:val="both"/>
      </w:pPr>
      <w:r>
        <w:rPr>
          <w:rFonts w:ascii="Calibri" w:cs="Calibri" w:eastAsia="Calibri" w:hAnsi="Calibri"/>
          <w:sz w:val="19"/>
          <w:szCs w:val="19"/>
        </w:rPr>
        <w:t xml:space="preserve">A new investment round, a share transfer, a shareholders’ agreement conferring veto rights, a change of board composition, or a restructuring upstream can all create or remove a controller. Item 11 of the calendar makes the review event-driven as well as annual.</w:t>
      </w:r>
    </w:p>
    <w:p>
      <w:pPr>
        <w:keepNext/>
        <w:spacing w:after="40" w:before="140"/>
      </w:pPr>
      <w:r>
        <w:rPr>
          <w:rFonts w:ascii="Calibri" w:cs="Calibri" w:eastAsia="Calibri" w:hAnsi="Calibri"/>
          <w:b/>
          <w:bCs/>
          <w:color w:val="14161B"/>
          <w:sz w:val="20"/>
          <w:szCs w:val="20"/>
        </w:rPr>
        <w:t xml:space="preserve">Personal data applies here too</w:t>
      </w:r>
    </w:p>
    <w:p>
      <w:pPr>
        <w:spacing w:after="60" w:line="264"/>
        <w:jc w:val="both"/>
      </w:pPr>
      <w:r>
        <w:rPr>
          <w:rFonts w:ascii="Calibri" w:cs="Calibri" w:eastAsia="Calibri" w:hAnsi="Calibri"/>
          <w:sz w:val="19"/>
          <w:szCs w:val="19"/>
        </w:rPr>
        <w:t xml:space="preserve">The registers contain residential addresses, identification numbers and dates of birth. Handle them in accordance with the Personal Data Protection Act — restrict access, secure the storage, and do not circulate the register more widely than the obligation requires.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Requirements on these registers have been amended repeatedly, including through the Companies and Limited Liability Partnerships (Miscellaneous Amendments) Act 2024 and measures in force during 2025 and 2026 — confirm the current position with the authority or a corporate secretarial adviser, particularly on central filing and nominee arrangements.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2026-08-22T06:55:29.039Z</dcterms:created>
  <dcterms:modified xsi:type="dcterms:W3CDTF">2026-08-22T06:55:29.039Z</dcterms:modified>
</cp:coreProperties>
</file>

<file path=docProps/custom.xml><?xml version="1.0" encoding="utf-8"?>
<Properties xmlns="http://schemas.openxmlformats.org/officeDocument/2006/custom-properties" xmlns:vt="http://schemas.openxmlformats.org/officeDocument/2006/docPropsVTypes"/>
</file>