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CONSULTANCY AGREEMENT</w:t>
      </w:r>
    </w:p>
    <w:p>
      <w:pPr>
        <w:spacing w:after="260"/>
        <w:jc w:val="center"/>
      </w:pPr>
      <w:r>
        <w:rPr>
          <w:rFonts w:ascii="Calibri" w:cs="Calibri" w:eastAsia="Calibri" w:hAnsi="Calibri"/>
          <w:i/>
          <w:iCs/>
          <w:color w:val="6E7480"/>
          <w:sz w:val="19"/>
          <w:szCs w:val="19"/>
        </w:rPr>
        <w:t xml:space="preserve">Independent contractor engagement</w:t>
      </w:r>
    </w:p>
    <w:p>
      <w:pPr>
        <w:spacing w:after="180" w:before="0" w:line="276"/>
        <w:jc w:val="both"/>
      </w:pPr>
      <w:r>
        <w:rPr>
          <w:rFonts w:ascii="Calibri" w:cs="Calibri" w:eastAsia="Calibri" w:hAnsi="Calibri"/>
          <w:i/>
          <w:iCs/>
          <w:color w:val="6E7480"/>
          <w:sz w:val="21"/>
          <w:szCs w:val="21"/>
        </w:rPr>
        <w:t xml:space="preserve">The label on this document does not decide the legal position. Where a person works under a contract of service in substance, the Employment Act applies whatever the paperwork says — which brings key employment terms, itemised payslips, and CPF contributions for citizens and permanent residents. The classification test in Section 1 is the most important part of this document.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084"/>
        <w:gridCol w:w="6554"/>
      </w:tblGrid>
      <w:tr>
        <w:trPr>
          <w:tblHeader/>
        </w:trPr>
        <w:tc>
          <w:tcPr>
            <w:tcW w:type="dxa" w:w="308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55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Client</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UEN </w:t>
            </w:r>
            <w:r>
              <w:rPr>
                <w:rFonts w:ascii="Calibri" w:cs="Calibri" w:eastAsia="Calibri" w:hAnsi="Calibri"/>
                <w:b/>
                <w:bCs/>
                <w:sz w:val="19"/>
                <w:szCs w:val="19"/>
              </w:rPr>
              <w:t xml:space="preserve">[UEN]</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Consultant</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w:t>
            </w:r>
            <w:r>
              <w:rPr>
                <w:rFonts w:ascii="Calibri" w:cs="Calibri" w:eastAsia="Calibri" w:hAnsi="Calibri"/>
                <w:b/>
                <w:bCs/>
                <w:sz w:val="19"/>
                <w:szCs w:val="19"/>
              </w:rPr>
              <w:t xml:space="preserve">[UEN / NRIC / FIN]</w:t>
            </w:r>
            <w:r>
              <w:rPr>
                <w:rFonts w:ascii="Calibri" w:cs="Calibri" w:eastAsia="Calibri" w:hAnsi="Calibri"/>
                <w:sz w:val="19"/>
                <w:szCs w:val="19"/>
              </w:rPr>
              <w:t xml:space="preserve"> </w:t>
            </w:r>
            <w:r>
              <w:rPr>
                <w:rFonts w:ascii="Calibri" w:cs="Calibri" w:eastAsia="Calibri" w:hAnsi="Calibri"/>
                <w:b/>
                <w:bCs/>
                <w:sz w:val="19"/>
                <w:szCs w:val="19"/>
              </w:rPr>
              <w:t xml:space="preserve">[NUMBER]</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Engaged as</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[Individual / Through a company — see the notes]</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Services</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[DESCRIPTION]</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Start date</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r>
              <w:rPr>
                <w:rFonts w:ascii="Calibri" w:cs="Calibri" w:eastAsia="Calibri" w:hAnsi="Calibri"/>
                <w:sz w:val="19"/>
                <w:szCs w:val="19"/>
              </w:rPr>
              <w:t xml:space="preserve">  End date: </w:t>
            </w:r>
            <w:r>
              <w:rPr>
                <w:rFonts w:ascii="Calibri" w:cs="Calibri" w:eastAsia="Calibri" w:hAnsi="Calibri"/>
                <w:b/>
                <w:bCs/>
                <w:sz w:val="19"/>
                <w:szCs w:val="19"/>
              </w:rPr>
              <w:t xml:space="preserve">[DATE]</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Fees</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 </w:t>
            </w:r>
            <w:r>
              <w:rPr>
                <w:rFonts w:ascii="Calibri" w:cs="Calibri" w:eastAsia="Calibri" w:hAnsi="Calibri"/>
                <w:b/>
                <w:bCs/>
                <w:sz w:val="19"/>
                <w:szCs w:val="19"/>
              </w:rPr>
              <w:t xml:space="preserve">[AMOUNT]</w:t>
            </w:r>
            <w:r>
              <w:rPr>
                <w:rFonts w:ascii="Calibri" w:cs="Calibri" w:eastAsia="Calibri" w:hAnsi="Calibri"/>
                <w:sz w:val="19"/>
                <w:szCs w:val="19"/>
              </w:rPr>
              <w:t xml:space="preserve"> per </w:t>
            </w:r>
            <w:r>
              <w:rPr>
                <w:rFonts w:ascii="Calibri" w:cs="Calibri" w:eastAsia="Calibri" w:hAnsi="Calibri"/>
                <w:b/>
                <w:bCs/>
                <w:sz w:val="19"/>
                <w:szCs w:val="19"/>
              </w:rPr>
              <w:t xml:space="preserve">[day / month / project]</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GST</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[Consultant is GST-registered and charges in addition / Not registered]</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CPF</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Not payable</w:t>
            </w:r>
            <w:r>
              <w:rPr>
                <w:rFonts w:ascii="Calibri" w:cs="Calibri" w:eastAsia="Calibri" w:hAnsi="Calibri"/>
                <w:sz w:val="19"/>
                <w:szCs w:val="19"/>
              </w:rPr>
              <w:t xml:space="preserve"> — a genuine contractor is not an employee</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IP in deliverables</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[Assigned to the Client / Licensed]</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Classification assessed</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r>
              <w:rPr>
                <w:rFonts w:ascii="Calibri" w:cs="Calibri" w:eastAsia="Calibri" w:hAnsi="Calibri"/>
                <w:sz w:val="19"/>
                <w:szCs w:val="19"/>
              </w:rPr>
              <w:t xml:space="preserve"> — see Section 1</w:t>
            </w:r>
          </w:p>
        </w:tc>
      </w:tr>
    </w:tbl>
    <w:p>
      <w:pPr>
        <w:spacing w:after="180"/>
      </w:pPr>
    </w:p>
    <w:p>
      <w:pPr>
        <w:keepNext/>
        <w:spacing w:after="120" w:before="280"/>
        <w:outlineLvl w:val="0"/>
      </w:pPr>
      <w:r>
        <w:rPr>
          <w:rFonts w:ascii="Calibri" w:cs="Calibri" w:eastAsia="Calibri" w:hAnsi="Calibri"/>
          <w:b/>
          <w:bCs/>
          <w:color w:val="14161B"/>
          <w:sz w:val="22"/>
          <w:szCs w:val="22"/>
        </w:rPr>
        <w:t xml:space="preserve">1. CLASSIFICATION — ASSESS BEFORE SIGNING</w:t>
      </w:r>
    </w:p>
    <w:p>
      <w:pPr>
        <w:spacing w:after="120" w:before="0" w:line="276"/>
        <w:jc w:val="both"/>
      </w:pPr>
      <w:r>
        <w:rPr>
          <w:rFonts w:ascii="Calibri" w:cs="Calibri" w:eastAsia="Calibri" w:hAnsi="Calibri"/>
          <w:i/>
          <w:iCs/>
          <w:sz w:val="21"/>
          <w:szCs w:val="21"/>
        </w:rPr>
        <w:t xml:space="preserve">Work through this honestly. If most answers point to employment, this is the wrong document.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2891"/>
        <w:gridCol w:w="2313"/>
        <w:gridCol w:w="2505"/>
        <w:gridCol w:w="1544"/>
      </w:tblGrid>
      <w:tr>
        <w:trPr>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w:t>
            </w:r>
          </w:p>
        </w:tc>
        <w:tc>
          <w:tcPr>
            <w:tcW w:type="dxa" w:w="289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Question</w:t>
            </w:r>
          </w:p>
        </w:tc>
        <w:tc>
          <w:tcPr>
            <w:tcW w:type="dxa" w:w="231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Points to contractor</w:t>
            </w:r>
          </w:p>
        </w:tc>
        <w:tc>
          <w:tcPr>
            <w:tcW w:type="dxa" w:w="250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Points to employee</w:t>
            </w:r>
          </w:p>
        </w:tc>
        <w:tc>
          <w:tcPr>
            <w:tcW w:type="dxa" w:w="154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Position</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1</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Who controls </w:t>
            </w:r>
            <w:r>
              <w:rPr>
                <w:rFonts w:ascii="Calibri" w:cs="Calibri" w:eastAsia="Calibri" w:hAnsi="Calibri"/>
                <w:b/>
                <w:bCs/>
                <w:sz w:val="16"/>
                <w:szCs w:val="16"/>
              </w:rPr>
              <w:t xml:space="preserve">how</w:t>
            </w:r>
            <w:r>
              <w:rPr>
                <w:rFonts w:ascii="Calibri" w:cs="Calibri" w:eastAsia="Calibri" w:hAnsi="Calibri"/>
                <w:sz w:val="16"/>
                <w:szCs w:val="16"/>
              </w:rPr>
              <w:t xml:space="preserve"> the work is done?</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The consultant decides method</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The client directs method</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[ANSWER]</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2</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Can the consultant send a substitute?</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Yes, with notice</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No — personal service required</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[ANSWER]</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3</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Whose equipment and premises?</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The consultant’s</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The client’s</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[ANSWER]</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4</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Fixed hours and place?</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No — the consultant chooses</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Yes — set by the client</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[ANSWER]</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5</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Does the consultant work for others?</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Yes</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No, or prohibited</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[ANSWER]</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6</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Who bears the financial risk?</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The consultant — fixed price, own costs</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The client — paid regardless</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[ANSWER]</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7</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Can the consultant profit from efficiency?</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Yes</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No</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[ANSWER]</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8</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Integration into the organisation?</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Peripheral — engaged for a task</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Part of the team, appraisals, reporting line</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[ANSWER]</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9</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Duration and exclusivity</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Defined project or term</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Open-ended and exclusive</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[ANSWER]</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10</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Benefits, leave, expenses?</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None — fees only</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Leave, benefits, reimbursement</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[ANSWER]</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11</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How is the consultant presented?</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As an external supplier</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With a company email, title and business card</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[ANSWER]</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12</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Correcting defective work</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At the consultant’s own cost</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On paid time</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[ANSWER]</w:t>
            </w:r>
          </w:p>
        </w:tc>
      </w:tr>
      <w:tr>
        <w:tc>
          <w:tcPr>
            <w:tcW w:type="dxa" w:w="385"/>
            <w:tcMar>
              <w:top w:type="dxa" w:w="70"/>
              <w:left w:type="dxa" w:w="100"/>
              <w:bottom w:type="dxa" w:w="70"/>
              <w:right w:type="dxa" w:w="100"/>
            </w:tcMar>
            <w:vAlign w:val="center"/>
          </w:tcPr>
          <w:p>
            <w:pPr>
              <w:spacing w:after="0" w:line="240"/>
              <w:jc w:val="left"/>
            </w:pP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Conclusion</w:t>
            </w:r>
          </w:p>
        </w:tc>
        <w:tc>
          <w:tcPr>
            <w:tcW w:type="dxa" w:w="2313"/>
            <w:tcMar>
              <w:top w:type="dxa" w:w="70"/>
              <w:left w:type="dxa" w:w="100"/>
              <w:bottom w:type="dxa" w:w="70"/>
              <w:right w:type="dxa" w:w="100"/>
            </w:tcMar>
            <w:vAlign w:val="center"/>
          </w:tcPr>
          <w:p>
            <w:pPr>
              <w:spacing w:after="0" w:line="240"/>
              <w:jc w:val="left"/>
            </w:pPr>
          </w:p>
        </w:tc>
        <w:tc>
          <w:tcPr>
            <w:tcW w:type="dxa" w:w="2505"/>
            <w:tcMar>
              <w:top w:type="dxa" w:w="70"/>
              <w:left w:type="dxa" w:w="100"/>
              <w:bottom w:type="dxa" w:w="70"/>
              <w:right w:type="dxa" w:w="100"/>
            </w:tcMar>
            <w:vAlign w:val="center"/>
          </w:tcPr>
          <w:p>
            <w:pPr>
              <w:spacing w:after="0" w:line="240"/>
              <w:jc w:val="left"/>
            </w:pP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[Contractor / Employee]</w:t>
            </w:r>
          </w:p>
        </w:tc>
      </w:tr>
    </w:tbl>
    <w:p>
      <w:pPr>
        <w:spacing w:after="140"/>
      </w:pP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i/>
          <w:iCs/>
          <w:sz w:val="21"/>
          <w:szCs w:val="21"/>
        </w:rPr>
        <w:t xml:space="preserve">No single factor decides it. Courts look at the whole picture, and the reality of the arrangement, not its description. A "consultant" working five days a week at the client’s office under the client’s direction for two years is an employee.</w:t>
      </w:r>
    </w:p>
    <w:p>
      <w:pPr>
        <w:keepNext/>
        <w:spacing w:after="120" w:before="280"/>
        <w:outlineLvl w:val="0"/>
      </w:pPr>
      <w:r>
        <w:rPr>
          <w:rFonts w:ascii="Calibri" w:cs="Calibri" w:eastAsia="Calibri" w:hAnsi="Calibri"/>
          <w:b/>
          <w:bCs/>
          <w:color w:val="14161B"/>
          <w:sz w:val="22"/>
          <w:szCs w:val="22"/>
        </w:rPr>
        <w:t xml:space="preserve">2. ENGAGEMENT</w:t>
      </w: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sz w:val="21"/>
          <w:szCs w:val="21"/>
        </w:rPr>
        <w:t xml:space="preserve">The Client engages the Consultant to provide the services described in the Schedule, and the Consultant accepts.</w:t>
      </w:r>
    </w:p>
    <w:p>
      <w:pPr>
        <w:spacing w:after="120" w:before="60" w:line="276"/>
        <w:ind w:left="720" w:hanging="720"/>
        <w:jc w:val="both"/>
      </w:pPr>
      <w:r>
        <w:rPr>
          <w:rFonts w:ascii="Calibri" w:cs="Calibri" w:eastAsia="Calibri" w:hAnsi="Calibri"/>
          <w:sz w:val="21"/>
          <w:szCs w:val="21"/>
        </w:rPr>
        <w:t xml:space="preserve">2.2	</w:t>
      </w:r>
      <w:r>
        <w:rPr>
          <w:rFonts w:ascii="Calibri" w:cs="Calibri" w:eastAsia="Calibri" w:hAnsi="Calibri"/>
          <w:sz w:val="21"/>
          <w:szCs w:val="21"/>
        </w:rPr>
        <w:t xml:space="preserve">The Consultant is an </w:t>
      </w:r>
      <w:r>
        <w:rPr>
          <w:rFonts w:ascii="Calibri" w:cs="Calibri" w:eastAsia="Calibri" w:hAnsi="Calibri"/>
          <w:b/>
          <w:bCs/>
          <w:sz w:val="21"/>
          <w:szCs w:val="21"/>
        </w:rPr>
        <w:t xml:space="preserve">independent contractor</w:t>
      </w:r>
      <w:r>
        <w:rPr>
          <w:rFonts w:ascii="Calibri" w:cs="Calibri" w:eastAsia="Calibri" w:hAnsi="Calibri"/>
          <w:sz w:val="21"/>
          <w:szCs w:val="21"/>
        </w:rPr>
        <w:t xml:space="preserve">. Nothing in this agreement creates a contract of service, employment, partnership or agency.</w:t>
      </w:r>
    </w:p>
    <w:p>
      <w:pPr>
        <w:spacing w:after="120" w:before="60" w:line="276"/>
        <w:ind w:left="720" w:hanging="720"/>
        <w:jc w:val="both"/>
      </w:pPr>
      <w:r>
        <w:rPr>
          <w:rFonts w:ascii="Calibri" w:cs="Calibri" w:eastAsia="Calibri" w:hAnsi="Calibri"/>
          <w:sz w:val="21"/>
          <w:szCs w:val="21"/>
        </w:rPr>
        <w:t xml:space="preserve">2.3	</w:t>
      </w:r>
      <w:r>
        <w:rPr>
          <w:rFonts w:ascii="Calibri" w:cs="Calibri" w:eastAsia="Calibri" w:hAnsi="Calibri"/>
          <w:sz w:val="21"/>
          <w:szCs w:val="21"/>
        </w:rPr>
        <w:t xml:space="preserve">The Consultant shall determine the manner in which the services are performed, subject to the objectives, standards and deadlines in the Schedule.</w:t>
      </w:r>
    </w:p>
    <w:p>
      <w:pPr>
        <w:spacing w:after="120" w:before="60" w:line="276"/>
        <w:ind w:left="720" w:hanging="720"/>
        <w:jc w:val="both"/>
      </w:pPr>
      <w:r>
        <w:rPr>
          <w:rFonts w:ascii="Calibri" w:cs="Calibri" w:eastAsia="Calibri" w:hAnsi="Calibri"/>
          <w:sz w:val="21"/>
          <w:szCs w:val="21"/>
        </w:rPr>
        <w:t xml:space="preserve">2.4	</w:t>
      </w:r>
      <w:r>
        <w:rPr>
          <w:rFonts w:ascii="Calibri" w:cs="Calibri" w:eastAsia="Calibri" w:hAnsi="Calibri"/>
          <w:sz w:val="21"/>
          <w:szCs w:val="21"/>
        </w:rPr>
        <w:t xml:space="preserve">The Consultant may perform services for others, provided this does not conflict with the Client’s interests or impair performance.</w:t>
      </w:r>
    </w:p>
    <w:p>
      <w:pPr>
        <w:spacing w:after="120" w:before="60" w:line="276"/>
        <w:ind w:left="720" w:hanging="720"/>
        <w:jc w:val="both"/>
      </w:pPr>
      <w:r>
        <w:rPr>
          <w:rFonts w:ascii="Calibri" w:cs="Calibri" w:eastAsia="Calibri" w:hAnsi="Calibri"/>
          <w:sz w:val="21"/>
          <w:szCs w:val="21"/>
        </w:rPr>
        <w:t xml:space="preserve">2.5	</w:t>
      </w:r>
      <w:r>
        <w:rPr>
          <w:rFonts w:ascii="Calibri" w:cs="Calibri" w:eastAsia="Calibri" w:hAnsi="Calibri"/>
          <w:sz w:val="21"/>
          <w:szCs w:val="21"/>
        </w:rPr>
        <w:t xml:space="preserve">The Consultant may with </w:t>
      </w:r>
      <w:r>
        <w:rPr>
          <w:rFonts w:ascii="Calibri" w:cs="Calibri" w:eastAsia="Calibri" w:hAnsi="Calibri"/>
          <w:b/>
          <w:bCs/>
          <w:sz w:val="21"/>
          <w:szCs w:val="21"/>
        </w:rPr>
        <w:t xml:space="preserve">[5]</w:t>
      </w:r>
      <w:r>
        <w:rPr>
          <w:rFonts w:ascii="Calibri" w:cs="Calibri" w:eastAsia="Calibri" w:hAnsi="Calibri"/>
          <w:sz w:val="21"/>
          <w:szCs w:val="21"/>
        </w:rPr>
        <w:t xml:space="preserve"> business days notice provide a suitably qualified substitute, remaining responsible for the services performed.</w:t>
      </w:r>
    </w:p>
    <w:p>
      <w:pPr>
        <w:spacing w:after="120" w:before="60" w:line="276"/>
        <w:ind w:left="720" w:hanging="720"/>
        <w:jc w:val="both"/>
      </w:pPr>
      <w:r>
        <w:rPr>
          <w:rFonts w:ascii="Calibri" w:cs="Calibri" w:eastAsia="Calibri" w:hAnsi="Calibri"/>
          <w:sz w:val="21"/>
          <w:szCs w:val="21"/>
        </w:rPr>
        <w:t xml:space="preserve">2.6	</w:t>
      </w:r>
      <w:r>
        <w:rPr>
          <w:rFonts w:ascii="Calibri" w:cs="Calibri" w:eastAsia="Calibri" w:hAnsi="Calibri"/>
          <w:b/>
          <w:bCs/>
          <w:sz w:val="21"/>
          <w:szCs w:val="21"/>
        </w:rPr>
        <w:t xml:space="preserve">[Where a work pass is relevant]</w:t>
      </w:r>
      <w:r>
        <w:rPr>
          <w:rFonts w:ascii="Calibri" w:cs="Calibri" w:eastAsia="Calibri" w:hAnsi="Calibri"/>
          <w:sz w:val="21"/>
          <w:szCs w:val="21"/>
        </w:rPr>
        <w:t xml:space="preserve"> The Consultant warrants they are lawfully entitled to provide the services in Singapore. </w:t>
      </w:r>
      <w:r>
        <w:rPr>
          <w:rFonts w:ascii="Calibri" w:cs="Calibri" w:eastAsia="Calibri" w:hAnsi="Calibri"/>
          <w:i/>
          <w:iCs/>
          <w:sz w:val="21"/>
          <w:szCs w:val="21"/>
        </w:rPr>
        <w:t xml:space="preserve">A foreign individual cannot simply provide services here without the appropriate pass — see the notes.</w:t>
      </w:r>
    </w:p>
    <w:p>
      <w:pPr>
        <w:keepNext/>
        <w:spacing w:after="120" w:before="280"/>
        <w:outlineLvl w:val="0"/>
      </w:pPr>
      <w:r>
        <w:rPr>
          <w:rFonts w:ascii="Calibri" w:cs="Calibri" w:eastAsia="Calibri" w:hAnsi="Calibri"/>
          <w:b/>
          <w:bCs/>
          <w:color w:val="14161B"/>
          <w:sz w:val="22"/>
          <w:szCs w:val="22"/>
        </w:rPr>
        <w:t xml:space="preserve">3. FEES</w:t>
      </w: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sz w:val="21"/>
          <w:szCs w:val="21"/>
        </w:rPr>
        <w:t xml:space="preserve">The Client shall pay </w:t>
      </w:r>
      <w:r>
        <w:rPr>
          <w:rFonts w:ascii="Calibri" w:cs="Calibri" w:eastAsia="Calibri" w:hAnsi="Calibri"/>
          <w:b/>
          <w:bCs/>
          <w:sz w:val="21"/>
          <w:szCs w:val="21"/>
        </w:rPr>
        <w:t xml:space="preserve">S$ </w:t>
      </w:r>
      <w:r>
        <w:rPr>
          <w:rFonts w:ascii="Calibri" w:cs="Calibri" w:eastAsia="Calibri" w:hAnsi="Calibri"/>
          <w:b/>
          <w:bCs/>
          <w:sz w:val="21"/>
          <w:szCs w:val="21"/>
        </w:rPr>
        <w:t xml:space="preserve">[AMOUNT]</w:t>
      </w:r>
      <w:r>
        <w:rPr>
          <w:rFonts w:ascii="Calibri" w:cs="Calibri" w:eastAsia="Calibri" w:hAnsi="Calibri"/>
          <w:sz w:val="21"/>
          <w:szCs w:val="21"/>
        </w:rPr>
        <w:t xml:space="preserve"> per </w:t>
      </w:r>
      <w:r>
        <w:rPr>
          <w:rFonts w:ascii="Calibri" w:cs="Calibri" w:eastAsia="Calibri" w:hAnsi="Calibri"/>
          <w:b/>
          <w:bCs/>
          <w:sz w:val="21"/>
          <w:szCs w:val="21"/>
        </w:rPr>
        <w:t xml:space="preserve">[day / month]</w:t>
      </w:r>
      <w:r>
        <w:rPr>
          <w:rFonts w:ascii="Calibri" w:cs="Calibri" w:eastAsia="Calibri" w:hAnsi="Calibri"/>
          <w:sz w:val="21"/>
          <w:szCs w:val="21"/>
        </w:rPr>
        <w:t xml:space="preserve">, or the fixed fee stated in the Schedule.</w:t>
      </w:r>
    </w:p>
    <w:p>
      <w:pPr>
        <w:spacing w:after="120" w:before="60" w:line="276"/>
        <w:ind w:left="720" w:hanging="720"/>
        <w:jc w:val="both"/>
      </w:pPr>
      <w:r>
        <w:rPr>
          <w:rFonts w:ascii="Calibri" w:cs="Calibri" w:eastAsia="Calibri" w:hAnsi="Calibri"/>
          <w:sz w:val="21"/>
          <w:szCs w:val="21"/>
        </w:rPr>
        <w:t xml:space="preserve">3.2	</w:t>
      </w:r>
      <w:r>
        <w:rPr>
          <w:rFonts w:ascii="Calibri" w:cs="Calibri" w:eastAsia="Calibri" w:hAnsi="Calibri"/>
          <w:sz w:val="21"/>
          <w:szCs w:val="21"/>
        </w:rPr>
        <w:t xml:space="preserve">The Consultant shall invoice </w:t>
      </w:r>
      <w:r>
        <w:rPr>
          <w:rFonts w:ascii="Calibri" w:cs="Calibri" w:eastAsia="Calibri" w:hAnsi="Calibri"/>
          <w:b/>
          <w:bCs/>
          <w:sz w:val="21"/>
          <w:szCs w:val="21"/>
        </w:rPr>
        <w:t xml:space="preserve">[monthly in arrears / on milestones]</w:t>
      </w:r>
      <w:r>
        <w:rPr>
          <w:rFonts w:ascii="Calibri" w:cs="Calibri" w:eastAsia="Calibri" w:hAnsi="Calibri"/>
          <w:sz w:val="21"/>
          <w:szCs w:val="21"/>
        </w:rPr>
        <w:t xml:space="preserve">, and invoices are payable within </w:t>
      </w:r>
      <w:r>
        <w:rPr>
          <w:rFonts w:ascii="Calibri" w:cs="Calibri" w:eastAsia="Calibri" w:hAnsi="Calibri"/>
          <w:b/>
          <w:bCs/>
          <w:sz w:val="21"/>
          <w:szCs w:val="21"/>
        </w:rPr>
        <w:t xml:space="preserve">[30]</w:t>
      </w:r>
      <w:r>
        <w:rPr>
          <w:rFonts w:ascii="Calibri" w:cs="Calibri" w:eastAsia="Calibri" w:hAnsi="Calibri"/>
          <w:sz w:val="21"/>
          <w:szCs w:val="21"/>
        </w:rPr>
        <w:t xml:space="preserve"> days.</w:t>
      </w:r>
    </w:p>
    <w:p>
      <w:pPr>
        <w:spacing w:after="120" w:before="60" w:line="276"/>
        <w:ind w:left="720" w:hanging="720"/>
        <w:jc w:val="both"/>
      </w:pPr>
      <w:r>
        <w:rPr>
          <w:rFonts w:ascii="Calibri" w:cs="Calibri" w:eastAsia="Calibri" w:hAnsi="Calibri"/>
          <w:sz w:val="21"/>
          <w:szCs w:val="21"/>
        </w:rPr>
        <w:t xml:space="preserve">3.3	</w:t>
      </w:r>
      <w:r>
        <w:rPr>
          <w:rFonts w:ascii="Calibri" w:cs="Calibri" w:eastAsia="Calibri" w:hAnsi="Calibri"/>
          <w:b/>
          <w:bCs/>
          <w:sz w:val="21"/>
          <w:szCs w:val="21"/>
        </w:rPr>
        <w:t xml:space="preserve">GST</w:t>
      </w:r>
      <w:r>
        <w:rPr>
          <w:rFonts w:ascii="Calibri" w:cs="Calibri" w:eastAsia="Calibri" w:hAnsi="Calibri"/>
          <w:sz w:val="21"/>
          <w:szCs w:val="21"/>
        </w:rPr>
        <w:t xml:space="preserve"> is charged in addition where the Consultant is GST-registered, and the invoice shall be a valid tax invoice.</w:t>
      </w:r>
    </w:p>
    <w:p>
      <w:pPr>
        <w:spacing w:after="120" w:before="60" w:line="276"/>
        <w:ind w:left="720" w:hanging="720"/>
        <w:jc w:val="both"/>
      </w:pPr>
      <w:r>
        <w:rPr>
          <w:rFonts w:ascii="Calibri" w:cs="Calibri" w:eastAsia="Calibri" w:hAnsi="Calibri"/>
          <w:sz w:val="21"/>
          <w:szCs w:val="21"/>
        </w:rPr>
        <w:t xml:space="preserve">3.4	</w:t>
      </w:r>
      <w:r>
        <w:rPr>
          <w:rFonts w:ascii="Calibri" w:cs="Calibri" w:eastAsia="Calibri" w:hAnsi="Calibri"/>
          <w:sz w:val="21"/>
          <w:szCs w:val="21"/>
        </w:rPr>
        <w:t xml:space="preserve">The Client shall reimburse pre-approved expenses at cost.</w:t>
      </w:r>
    </w:p>
    <w:p>
      <w:pPr>
        <w:spacing w:after="120" w:before="60" w:line="276"/>
        <w:ind w:left="720" w:hanging="720"/>
        <w:jc w:val="both"/>
      </w:pPr>
      <w:r>
        <w:rPr>
          <w:rFonts w:ascii="Calibri" w:cs="Calibri" w:eastAsia="Calibri" w:hAnsi="Calibri"/>
          <w:sz w:val="21"/>
          <w:szCs w:val="21"/>
        </w:rPr>
        <w:t xml:space="preserve">3.5	</w:t>
      </w:r>
      <w:r>
        <w:rPr>
          <w:rFonts w:ascii="Calibri" w:cs="Calibri" w:eastAsia="Calibri" w:hAnsi="Calibri"/>
          <w:sz w:val="21"/>
          <w:szCs w:val="21"/>
        </w:rPr>
        <w:t xml:space="preserve">The Consultant is </w:t>
      </w:r>
      <w:r>
        <w:rPr>
          <w:rFonts w:ascii="Calibri" w:cs="Calibri" w:eastAsia="Calibri" w:hAnsi="Calibri"/>
          <w:b/>
          <w:bCs/>
          <w:sz w:val="21"/>
          <w:szCs w:val="21"/>
        </w:rPr>
        <w:t xml:space="preserve">not entitled</w:t>
      </w:r>
      <w:r>
        <w:rPr>
          <w:rFonts w:ascii="Calibri" w:cs="Calibri" w:eastAsia="Calibri" w:hAnsi="Calibri"/>
          <w:sz w:val="21"/>
          <w:szCs w:val="21"/>
        </w:rPr>
        <w:t xml:space="preserve"> to salary, annual leave, sick leave, public holiday pay, bonus, medical benefits, or any employment benefit.</w:t>
      </w:r>
    </w:p>
    <w:p>
      <w:pPr>
        <w:spacing w:after="120" w:before="60" w:line="276"/>
        <w:ind w:left="720" w:hanging="720"/>
        <w:jc w:val="both"/>
      </w:pPr>
      <w:r>
        <w:rPr>
          <w:rFonts w:ascii="Calibri" w:cs="Calibri" w:eastAsia="Calibri" w:hAnsi="Calibri"/>
          <w:sz w:val="21"/>
          <w:szCs w:val="21"/>
        </w:rPr>
        <w:t xml:space="preserve">3.6	</w:t>
      </w:r>
      <w:r>
        <w:rPr>
          <w:rFonts w:ascii="Calibri" w:cs="Calibri" w:eastAsia="Calibri" w:hAnsi="Calibri"/>
          <w:b/>
          <w:bCs/>
          <w:sz w:val="21"/>
          <w:szCs w:val="21"/>
        </w:rPr>
        <w:t xml:space="preserve">No CPF contributions are payable</w:t>
      </w:r>
      <w:r>
        <w:rPr>
          <w:rFonts w:ascii="Calibri" w:cs="Calibri" w:eastAsia="Calibri" w:hAnsi="Calibri"/>
          <w:sz w:val="21"/>
          <w:szCs w:val="21"/>
        </w:rPr>
        <w:t xml:space="preserve"> by the Client. The Consultant is responsible for their own contributions as a self-employed person where required.</w:t>
      </w:r>
    </w:p>
    <w:p>
      <w:pPr>
        <w:spacing w:after="120" w:before="60" w:line="276"/>
        <w:ind w:left="720" w:hanging="720"/>
        <w:jc w:val="both"/>
      </w:pPr>
      <w:r>
        <w:rPr>
          <w:rFonts w:ascii="Calibri" w:cs="Calibri" w:eastAsia="Calibri" w:hAnsi="Calibri"/>
          <w:sz w:val="21"/>
          <w:szCs w:val="21"/>
        </w:rPr>
        <w:t xml:space="preserve">3.7	</w:t>
      </w:r>
      <w:r>
        <w:rPr>
          <w:rFonts w:ascii="Calibri" w:cs="Calibri" w:eastAsia="Calibri" w:hAnsi="Calibri"/>
          <w:sz w:val="21"/>
          <w:szCs w:val="21"/>
        </w:rPr>
        <w:t xml:space="preserve">The Consultant is responsible for their own income tax, and shall provide any information the Client requires to meet its own reporting or withholding obligations.</w:t>
      </w:r>
    </w:p>
    <w:p>
      <w:pPr>
        <w:spacing w:after="120" w:before="60" w:line="276"/>
        <w:ind w:left="720" w:hanging="720"/>
        <w:jc w:val="both"/>
      </w:pPr>
      <w:r>
        <w:rPr>
          <w:rFonts w:ascii="Calibri" w:cs="Calibri" w:eastAsia="Calibri" w:hAnsi="Calibri"/>
          <w:sz w:val="21"/>
          <w:szCs w:val="21"/>
        </w:rPr>
        <w:t xml:space="preserve">3.8	</w:t>
      </w:r>
      <w:r>
        <w:rPr>
          <w:rFonts w:ascii="Calibri" w:cs="Calibri" w:eastAsia="Calibri" w:hAnsi="Calibri"/>
          <w:b/>
          <w:bCs/>
          <w:sz w:val="21"/>
          <w:szCs w:val="21"/>
        </w:rPr>
        <w:t xml:space="preserve">[Where the Consultant is non-resident]</w:t>
      </w:r>
      <w:r>
        <w:rPr>
          <w:rFonts w:ascii="Calibri" w:cs="Calibri" w:eastAsia="Calibri" w:hAnsi="Calibri"/>
          <w:sz w:val="21"/>
          <w:szCs w:val="21"/>
        </w:rPr>
        <w:t xml:space="preserve"> Where withholding tax is required on a payment, the Client shall withhold and account for it, and shall provide the Consultant with evidence.</w:t>
      </w:r>
    </w:p>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4. OBLIGATIONS</w:t>
      </w:r>
    </w:p>
    <w:p>
      <w:pPr>
        <w:spacing w:after="120" w:before="60" w:line="276"/>
        <w:ind w:left="720" w:hanging="720"/>
        <w:jc w:val="both"/>
      </w:pPr>
      <w:r>
        <w:rPr>
          <w:rFonts w:ascii="Calibri" w:cs="Calibri" w:eastAsia="Calibri" w:hAnsi="Calibri"/>
          <w:sz w:val="21"/>
          <w:szCs w:val="21"/>
        </w:rPr>
        <w:t xml:space="preserve">4.1	</w:t>
      </w:r>
      <w:r>
        <w:rPr>
          <w:rFonts w:ascii="Calibri" w:cs="Calibri" w:eastAsia="Calibri" w:hAnsi="Calibri"/>
          <w:sz w:val="21"/>
          <w:szCs w:val="21"/>
        </w:rPr>
        <w:t xml:space="preserve">The Consultant shall perform the services with reasonable skill and care, meet the deadlines in the Schedule, comply with applicable law and with the Client’s policies while at the Client’s premises, and notify the Client promptly of anything likely to delay performance.</w:t>
      </w:r>
    </w:p>
    <w:p>
      <w:pPr>
        <w:spacing w:after="120" w:before="60" w:line="276"/>
        <w:ind w:left="720" w:hanging="720"/>
        <w:jc w:val="both"/>
      </w:pPr>
      <w:r>
        <w:rPr>
          <w:rFonts w:ascii="Calibri" w:cs="Calibri" w:eastAsia="Calibri" w:hAnsi="Calibri"/>
          <w:sz w:val="21"/>
          <w:szCs w:val="21"/>
        </w:rPr>
        <w:t xml:space="preserve">4.2	</w:t>
      </w:r>
      <w:r>
        <w:rPr>
          <w:rFonts w:ascii="Calibri" w:cs="Calibri" w:eastAsia="Calibri" w:hAnsi="Calibri"/>
          <w:sz w:val="21"/>
          <w:szCs w:val="21"/>
        </w:rPr>
        <w:t xml:space="preserve">The Consultant shall provide their own equipment, save where the Client agrees otherwise for reasons of security or compatibility.</w:t>
      </w:r>
    </w:p>
    <w:p>
      <w:pPr>
        <w:spacing w:after="120" w:before="60" w:line="276"/>
        <w:ind w:left="720" w:hanging="720"/>
        <w:jc w:val="both"/>
      </w:pPr>
      <w:r>
        <w:rPr>
          <w:rFonts w:ascii="Calibri" w:cs="Calibri" w:eastAsia="Calibri" w:hAnsi="Calibri"/>
          <w:sz w:val="21"/>
          <w:szCs w:val="21"/>
        </w:rPr>
        <w:t xml:space="preserve">4.3	</w:t>
      </w:r>
      <w:r>
        <w:rPr>
          <w:rFonts w:ascii="Calibri" w:cs="Calibri" w:eastAsia="Calibri" w:hAnsi="Calibri"/>
          <w:sz w:val="21"/>
          <w:szCs w:val="21"/>
        </w:rPr>
        <w:t xml:space="preserve">The Consultant shall correct defective work at their own cost.</w:t>
      </w:r>
    </w:p>
    <w:p>
      <w:pPr>
        <w:spacing w:after="120" w:before="60" w:line="276"/>
        <w:ind w:left="720" w:hanging="720"/>
        <w:jc w:val="both"/>
      </w:pPr>
      <w:r>
        <w:rPr>
          <w:rFonts w:ascii="Calibri" w:cs="Calibri" w:eastAsia="Calibri" w:hAnsi="Calibri"/>
          <w:sz w:val="21"/>
          <w:szCs w:val="21"/>
        </w:rPr>
        <w:t xml:space="preserve">4.4	</w:t>
      </w:r>
      <w:r>
        <w:rPr>
          <w:rFonts w:ascii="Calibri" w:cs="Calibri" w:eastAsia="Calibri" w:hAnsi="Calibri"/>
          <w:sz w:val="21"/>
          <w:szCs w:val="21"/>
        </w:rPr>
        <w:t xml:space="preserve">The Consultant shall disclose any conflict of interest before it arises.</w:t>
      </w:r>
    </w:p>
    <w:p>
      <w:pPr>
        <w:spacing w:after="120" w:before="60" w:line="276"/>
        <w:ind w:left="720" w:hanging="720"/>
        <w:jc w:val="both"/>
      </w:pPr>
      <w:r>
        <w:rPr>
          <w:rFonts w:ascii="Calibri" w:cs="Calibri" w:eastAsia="Calibri" w:hAnsi="Calibri"/>
          <w:sz w:val="21"/>
          <w:szCs w:val="21"/>
        </w:rPr>
        <w:t xml:space="preserve">4.5	</w:t>
      </w:r>
      <w:r>
        <w:rPr>
          <w:rFonts w:ascii="Calibri" w:cs="Calibri" w:eastAsia="Calibri" w:hAnsi="Calibri"/>
          <w:sz w:val="21"/>
          <w:szCs w:val="21"/>
        </w:rPr>
        <w:t xml:space="preserve">The Consultant shall maintain </w:t>
      </w:r>
      <w:r>
        <w:rPr>
          <w:rFonts w:ascii="Calibri" w:cs="Calibri" w:eastAsia="Calibri" w:hAnsi="Calibri"/>
          <w:b/>
          <w:bCs/>
          <w:sz w:val="21"/>
          <w:szCs w:val="21"/>
        </w:rPr>
        <w:t xml:space="preserve">[professional indemnity insurance of S$ ______ and public liability insurance of S$ ______]</w:t>
      </w:r>
      <w:r>
        <w:rPr>
          <w:rFonts w:ascii="Calibri" w:cs="Calibri" w:eastAsia="Calibri" w:hAnsi="Calibri"/>
          <w:sz w:val="21"/>
          <w:szCs w:val="21"/>
        </w:rPr>
        <w:t xml:space="preserve"> and provide evidence on request.</w:t>
      </w:r>
    </w:p>
    <w:p>
      <w:pPr>
        <w:keepNext/>
        <w:spacing w:after="120" w:before="280"/>
        <w:outlineLvl w:val="0"/>
      </w:pPr>
      <w:r>
        <w:rPr>
          <w:rFonts w:ascii="Calibri" w:cs="Calibri" w:eastAsia="Calibri" w:hAnsi="Calibri"/>
          <w:b/>
          <w:bCs/>
          <w:color w:val="14161B"/>
          <w:sz w:val="22"/>
          <w:szCs w:val="22"/>
        </w:rPr>
        <w:t xml:space="preserve">5. CONFIDENTIALITY, IP AND DATA</w:t>
      </w:r>
    </w:p>
    <w:p>
      <w:pPr>
        <w:spacing w:after="120" w:before="60" w:line="276"/>
        <w:ind w:left="720" w:hanging="720"/>
        <w:jc w:val="both"/>
      </w:pPr>
      <w:r>
        <w:rPr>
          <w:rFonts w:ascii="Calibri" w:cs="Calibri" w:eastAsia="Calibri" w:hAnsi="Calibri"/>
          <w:sz w:val="21"/>
          <w:szCs w:val="21"/>
        </w:rPr>
        <w:t xml:space="preserve">5.1	</w:t>
      </w:r>
      <w:r>
        <w:rPr>
          <w:rFonts w:ascii="Calibri" w:cs="Calibri" w:eastAsia="Calibri" w:hAnsi="Calibri"/>
          <w:sz w:val="21"/>
          <w:szCs w:val="21"/>
        </w:rPr>
        <w:t xml:space="preserve">The Consultant shall keep the Client’s confidential information confidential, use it only for the services, and return or destroy it on termination. This obligation continues without limit of time.</w:t>
      </w:r>
    </w:p>
    <w:p>
      <w:pPr>
        <w:spacing w:after="120" w:before="60" w:line="276"/>
        <w:ind w:left="720" w:hanging="720"/>
        <w:jc w:val="both"/>
      </w:pPr>
      <w:r>
        <w:rPr>
          <w:rFonts w:ascii="Calibri" w:cs="Calibri" w:eastAsia="Calibri" w:hAnsi="Calibri"/>
          <w:sz w:val="21"/>
          <w:szCs w:val="21"/>
        </w:rPr>
        <w:t xml:space="preserve">5.2	</w:t>
      </w:r>
      <w:r>
        <w:rPr>
          <w:rFonts w:ascii="Calibri" w:cs="Calibri" w:eastAsia="Calibri" w:hAnsi="Calibri"/>
          <w:b/>
          <w:bCs/>
          <w:sz w:val="21"/>
          <w:szCs w:val="21"/>
        </w:rPr>
        <w:t xml:space="preserve">Intellectual property.</w:t>
      </w:r>
      <w:r>
        <w:rPr>
          <w:rFonts w:ascii="Calibri" w:cs="Calibri" w:eastAsia="Calibri" w:hAnsi="Calibri"/>
          <w:sz w:val="21"/>
          <w:szCs w:val="21"/>
        </w:rPr>
        <w:t xml:space="preserve"> </w:t>
      </w:r>
      <w:r>
        <w:rPr>
          <w:rFonts w:ascii="Calibri" w:cs="Calibri" w:eastAsia="Calibri" w:hAnsi="Calibri"/>
          <w:b/>
          <w:bCs/>
          <w:sz w:val="21"/>
          <w:szCs w:val="21"/>
        </w:rPr>
        <w:t xml:space="preserve">[Assignment]</w:t>
      </w:r>
      <w:r>
        <w:rPr>
          <w:rFonts w:ascii="Calibri" w:cs="Calibri" w:eastAsia="Calibri" w:hAnsi="Calibri"/>
          <w:sz w:val="21"/>
          <w:szCs w:val="21"/>
        </w:rPr>
        <w:t xml:space="preserve"> The Consultant assigns to the Client all intellectual property in the deliverables created under this agreement, waives moral rights to the extent permitted, and shall execute any document required to perfect the assignment.</w:t>
      </w:r>
    </w:p>
    <w:p>
      <w:pPr>
        <w:spacing w:after="120" w:before="60" w:line="276"/>
        <w:ind w:left="720" w:hanging="720"/>
        <w:jc w:val="both"/>
      </w:pPr>
      <w:r>
        <w:rPr>
          <w:rFonts w:ascii="Calibri" w:cs="Calibri" w:eastAsia="Calibri" w:hAnsi="Calibri"/>
          <w:sz w:val="21"/>
          <w:szCs w:val="21"/>
        </w:rPr>
        <w:t xml:space="preserve">5.3	</w:t>
      </w:r>
      <w:r>
        <w:rPr>
          <w:rFonts w:ascii="Calibri" w:cs="Calibri" w:eastAsia="Calibri" w:hAnsi="Calibri"/>
          <w:sz w:val="21"/>
          <w:szCs w:val="21"/>
        </w:rPr>
        <w:t xml:space="preserve">The Consultant retains their pre-existing tools, methodologies and know-how, and grants the Client a licence to use them to the extent embedded in the deliverables.</w:t>
      </w:r>
    </w:p>
    <w:p>
      <w:pPr>
        <w:spacing w:after="120" w:before="60" w:line="276"/>
        <w:ind w:left="720" w:hanging="720"/>
        <w:jc w:val="both"/>
      </w:pPr>
      <w:r>
        <w:rPr>
          <w:rFonts w:ascii="Calibri" w:cs="Calibri" w:eastAsia="Calibri" w:hAnsi="Calibri"/>
          <w:sz w:val="21"/>
          <w:szCs w:val="21"/>
        </w:rPr>
        <w:t xml:space="preserve">5.4	</w:t>
      </w:r>
      <w:r>
        <w:rPr>
          <w:rFonts w:ascii="Calibri" w:cs="Calibri" w:eastAsia="Calibri" w:hAnsi="Calibri"/>
          <w:sz w:val="21"/>
          <w:szCs w:val="21"/>
        </w:rPr>
        <w:t xml:space="preserve">The Consultant warrants that the deliverables do not infringe third party rights and shall identify any third party or open source material incorporated.</w:t>
      </w:r>
    </w:p>
    <w:p>
      <w:pPr>
        <w:spacing w:after="120" w:before="60" w:line="276"/>
        <w:ind w:left="720" w:hanging="720"/>
        <w:jc w:val="both"/>
      </w:pPr>
      <w:r>
        <w:rPr>
          <w:rFonts w:ascii="Calibri" w:cs="Calibri" w:eastAsia="Calibri" w:hAnsi="Calibri"/>
          <w:sz w:val="21"/>
          <w:szCs w:val="21"/>
        </w:rPr>
        <w:t xml:space="preserve">5.5	</w:t>
      </w:r>
      <w:r>
        <w:rPr>
          <w:rFonts w:ascii="Calibri" w:cs="Calibri" w:eastAsia="Calibri" w:hAnsi="Calibri"/>
          <w:sz w:val="21"/>
          <w:szCs w:val="21"/>
        </w:rPr>
        <w:t xml:space="preserve">Where the Consultant processes personal data for the Client, they shall comply with the Personal Data Protection Act 2012, process only on the Client’s instructions, apply reasonable security arrangements, and </w:t>
      </w:r>
      <w:r>
        <w:rPr>
          <w:rFonts w:ascii="Calibri" w:cs="Calibri" w:eastAsia="Calibri" w:hAnsi="Calibri"/>
          <w:b/>
          <w:bCs/>
          <w:sz w:val="21"/>
          <w:szCs w:val="21"/>
        </w:rPr>
        <w:t xml:space="preserve">notify the Client immediately of any data breach</w:t>
      </w:r>
      <w:r>
        <w:rPr>
          <w:rFonts w:ascii="Calibri" w:cs="Calibri" w:eastAsia="Calibri" w:hAnsi="Calibri"/>
          <w:sz w:val="21"/>
          <w:szCs w:val="21"/>
        </w:rPr>
        <w:t xml:space="preserve">.</w:t>
      </w:r>
    </w:p>
    <w:p>
      <w:pPr>
        <w:keepNext/>
        <w:spacing w:after="120" w:before="280"/>
        <w:outlineLvl w:val="0"/>
      </w:pPr>
      <w:r>
        <w:rPr>
          <w:rFonts w:ascii="Calibri" w:cs="Calibri" w:eastAsia="Calibri" w:hAnsi="Calibri"/>
          <w:b/>
          <w:bCs/>
          <w:color w:val="14161B"/>
          <w:sz w:val="22"/>
          <w:szCs w:val="22"/>
        </w:rPr>
        <w:t xml:space="preserve">6. RESTRICTIONS</w:t>
      </w:r>
    </w:p>
    <w:p>
      <w:pPr>
        <w:spacing w:after="120" w:before="60" w:line="276"/>
        <w:ind w:left="720" w:hanging="720"/>
        <w:jc w:val="both"/>
      </w:pPr>
      <w:r>
        <w:rPr>
          <w:rFonts w:ascii="Calibri" w:cs="Calibri" w:eastAsia="Calibri" w:hAnsi="Calibri"/>
          <w:sz w:val="21"/>
          <w:szCs w:val="21"/>
        </w:rPr>
        <w:t xml:space="preserve">6.1	</w:t>
      </w:r>
      <w:r>
        <w:rPr>
          <w:rFonts w:ascii="Calibri" w:cs="Calibri" w:eastAsia="Calibri" w:hAnsi="Calibri"/>
          <w:sz w:val="21"/>
          <w:szCs w:val="21"/>
        </w:rPr>
        <w:t xml:space="preserve">During the engagement and for </w:t>
      </w:r>
      <w:r>
        <w:rPr>
          <w:rFonts w:ascii="Calibri" w:cs="Calibri" w:eastAsia="Calibri" w:hAnsi="Calibri"/>
          <w:b/>
          <w:bCs/>
          <w:sz w:val="21"/>
          <w:szCs w:val="21"/>
        </w:rPr>
        <w:t xml:space="preserve">[6]</w:t>
      </w:r>
      <w:r>
        <w:rPr>
          <w:rFonts w:ascii="Calibri" w:cs="Calibri" w:eastAsia="Calibri" w:hAnsi="Calibri"/>
          <w:sz w:val="21"/>
          <w:szCs w:val="21"/>
        </w:rPr>
        <w:t xml:space="preserve"> months after, the Consultant shall not solicit or deal with any client of the Client with whom they had material dealings in connection with the services, in relation to </w:t>
      </w:r>
      <w:r>
        <w:rPr>
          <w:rFonts w:ascii="Calibri" w:cs="Calibri" w:eastAsia="Calibri" w:hAnsi="Calibri"/>
          <w:b/>
          <w:bCs/>
          <w:sz w:val="21"/>
          <w:szCs w:val="21"/>
        </w:rPr>
        <w:t xml:space="preserve">[THE SPECIFIC BUSINESS]</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6.2	</w:t>
      </w:r>
      <w:r>
        <w:rPr>
          <w:rFonts w:ascii="Calibri" w:cs="Calibri" w:eastAsia="Calibri" w:hAnsi="Calibri"/>
          <w:sz w:val="21"/>
          <w:szCs w:val="21"/>
        </w:rPr>
        <w:t xml:space="preserve">During the engagement and for </w:t>
      </w:r>
      <w:r>
        <w:rPr>
          <w:rFonts w:ascii="Calibri" w:cs="Calibri" w:eastAsia="Calibri" w:hAnsi="Calibri"/>
          <w:b/>
          <w:bCs/>
          <w:sz w:val="21"/>
          <w:szCs w:val="21"/>
        </w:rPr>
        <w:t xml:space="preserve">[6]</w:t>
      </w:r>
      <w:r>
        <w:rPr>
          <w:rFonts w:ascii="Calibri" w:cs="Calibri" w:eastAsia="Calibri" w:hAnsi="Calibri"/>
          <w:sz w:val="21"/>
          <w:szCs w:val="21"/>
        </w:rPr>
        <w:t xml:space="preserve"> months after, the Consultant shall not solicit any employee of the Client with whom they worked.</w:t>
      </w:r>
    </w:p>
    <w:p>
      <w:pPr>
        <w:spacing w:after="120" w:before="60" w:line="276"/>
        <w:ind w:left="720" w:hanging="720"/>
        <w:jc w:val="both"/>
      </w:pPr>
      <w:r>
        <w:rPr>
          <w:rFonts w:ascii="Calibri" w:cs="Calibri" w:eastAsia="Calibri" w:hAnsi="Calibri"/>
          <w:sz w:val="21"/>
          <w:szCs w:val="21"/>
        </w:rPr>
        <w:t xml:space="preserve">6.3	</w:t>
      </w:r>
      <w:r>
        <w:rPr>
          <w:rFonts w:ascii="Calibri" w:cs="Calibri" w:eastAsia="Calibri" w:hAnsi="Calibri"/>
          <w:sz w:val="21"/>
          <w:szCs w:val="21"/>
        </w:rPr>
        <w:t xml:space="preserve">Each restriction is separate. </w:t>
      </w:r>
      <w:r>
        <w:rPr>
          <w:rFonts w:ascii="Calibri" w:cs="Calibri" w:eastAsia="Calibri" w:hAnsi="Calibri"/>
          <w:i/>
          <w:iCs/>
          <w:sz w:val="21"/>
          <w:szCs w:val="21"/>
        </w:rPr>
        <w:t xml:space="preserve">Restraints on a contractor are enforceable only so far as reasonable, and are harder to justify than against an employee — keep them narrow.</w:t>
      </w:r>
    </w:p>
    <w:p>
      <w:pPr>
        <w:keepNext/>
        <w:spacing w:after="120" w:before="280"/>
        <w:outlineLvl w:val="0"/>
      </w:pPr>
      <w:r>
        <w:rPr>
          <w:rFonts w:ascii="Calibri" w:cs="Calibri" w:eastAsia="Calibri" w:hAnsi="Calibri"/>
          <w:b/>
          <w:bCs/>
          <w:color w:val="14161B"/>
          <w:sz w:val="22"/>
          <w:szCs w:val="22"/>
        </w:rPr>
        <w:t xml:space="preserve">7. TERM, TERMINATION AND INDEMNITY</w:t>
      </w:r>
    </w:p>
    <w:p>
      <w:pPr>
        <w:spacing w:after="120" w:before="60" w:line="276"/>
        <w:ind w:left="720" w:hanging="720"/>
        <w:jc w:val="both"/>
      </w:pPr>
      <w:r>
        <w:rPr>
          <w:rFonts w:ascii="Calibri" w:cs="Calibri" w:eastAsia="Calibri" w:hAnsi="Calibri"/>
          <w:sz w:val="21"/>
          <w:szCs w:val="21"/>
        </w:rPr>
        <w:t xml:space="preserve">7.1	</w:t>
      </w:r>
      <w:r>
        <w:rPr>
          <w:rFonts w:ascii="Calibri" w:cs="Calibri" w:eastAsia="Calibri" w:hAnsi="Calibri"/>
          <w:sz w:val="21"/>
          <w:szCs w:val="21"/>
        </w:rPr>
        <w:t xml:space="preserve">This agreement runs from the start date to the end date, unless terminated earlier.</w:t>
      </w:r>
    </w:p>
    <w:p>
      <w:pPr>
        <w:spacing w:after="120" w:before="60" w:line="276"/>
        <w:ind w:left="720" w:hanging="720"/>
        <w:jc w:val="both"/>
      </w:pPr>
      <w:r>
        <w:rPr>
          <w:rFonts w:ascii="Calibri" w:cs="Calibri" w:eastAsia="Calibri" w:hAnsi="Calibri"/>
          <w:sz w:val="21"/>
          <w:szCs w:val="21"/>
        </w:rPr>
        <w:t xml:space="preserve">7.2	</w:t>
      </w:r>
      <w:r>
        <w:rPr>
          <w:rFonts w:ascii="Calibri" w:cs="Calibri" w:eastAsia="Calibri" w:hAnsi="Calibri"/>
          <w:sz w:val="21"/>
          <w:szCs w:val="21"/>
        </w:rPr>
        <w:t xml:space="preserve">Either party may terminate on </w:t>
      </w:r>
      <w:r>
        <w:rPr>
          <w:rFonts w:ascii="Calibri" w:cs="Calibri" w:eastAsia="Calibri" w:hAnsi="Calibri"/>
          <w:b/>
          <w:bCs/>
          <w:sz w:val="21"/>
          <w:szCs w:val="21"/>
        </w:rPr>
        <w:t xml:space="preserve">[14]</w:t>
      </w:r>
      <w:r>
        <w:rPr>
          <w:rFonts w:ascii="Calibri" w:cs="Calibri" w:eastAsia="Calibri" w:hAnsi="Calibri"/>
          <w:sz w:val="21"/>
          <w:szCs w:val="21"/>
        </w:rPr>
        <w:t xml:space="preserve"> days written notice, or immediately for material breach not remedied within </w:t>
      </w:r>
      <w:r>
        <w:rPr>
          <w:rFonts w:ascii="Calibri" w:cs="Calibri" w:eastAsia="Calibri" w:hAnsi="Calibri"/>
          <w:b/>
          <w:bCs/>
          <w:sz w:val="21"/>
          <w:szCs w:val="21"/>
        </w:rPr>
        <w:t xml:space="preserve">[7]</w:t>
      </w:r>
      <w:r>
        <w:rPr>
          <w:rFonts w:ascii="Calibri" w:cs="Calibri" w:eastAsia="Calibri" w:hAnsi="Calibri"/>
          <w:sz w:val="21"/>
          <w:szCs w:val="21"/>
        </w:rPr>
        <w:t xml:space="preserve"> days, or on insolvency.</w:t>
      </w:r>
    </w:p>
    <w:p>
      <w:pPr>
        <w:spacing w:after="120" w:before="60" w:line="276"/>
        <w:ind w:left="720" w:hanging="720"/>
        <w:jc w:val="both"/>
      </w:pPr>
      <w:r>
        <w:rPr>
          <w:rFonts w:ascii="Calibri" w:cs="Calibri" w:eastAsia="Calibri" w:hAnsi="Calibri"/>
          <w:sz w:val="21"/>
          <w:szCs w:val="21"/>
        </w:rPr>
        <w:t xml:space="preserve">7.3	</w:t>
      </w:r>
      <w:r>
        <w:rPr>
          <w:rFonts w:ascii="Calibri" w:cs="Calibri" w:eastAsia="Calibri" w:hAnsi="Calibri"/>
          <w:sz w:val="21"/>
          <w:szCs w:val="21"/>
        </w:rPr>
        <w:t xml:space="preserve">On termination the Client shall pay for services performed to that date, and the Consultant shall deliver all work in progress and return all Client property and information.</w:t>
      </w:r>
    </w:p>
    <w:p>
      <w:pPr>
        <w:spacing w:after="120" w:before="60" w:line="276"/>
        <w:ind w:left="720" w:hanging="720"/>
        <w:jc w:val="both"/>
      </w:pPr>
      <w:r>
        <w:rPr>
          <w:rFonts w:ascii="Calibri" w:cs="Calibri" w:eastAsia="Calibri" w:hAnsi="Calibri"/>
          <w:sz w:val="21"/>
          <w:szCs w:val="21"/>
        </w:rPr>
        <w:t xml:space="preserve">7.4	</w:t>
      </w:r>
      <w:r>
        <w:rPr>
          <w:rFonts w:ascii="Calibri" w:cs="Calibri" w:eastAsia="Calibri" w:hAnsi="Calibri"/>
          <w:b/>
          <w:bCs/>
          <w:sz w:val="21"/>
          <w:szCs w:val="21"/>
        </w:rPr>
        <w:t xml:space="preserve">The Consultant indemnifies the Client</w:t>
      </w:r>
      <w:r>
        <w:rPr>
          <w:rFonts w:ascii="Calibri" w:cs="Calibri" w:eastAsia="Calibri" w:hAnsi="Calibri"/>
          <w:sz w:val="21"/>
          <w:szCs w:val="21"/>
        </w:rPr>
        <w:t xml:space="preserve"> against any claim, liability or cost arising from a determination that the Consultant or their personnel are or were employees of the Client, including any CPF contributions, levies, taxes, penalties or interest.</w:t>
      </w:r>
    </w:p>
    <w:p>
      <w:pPr>
        <w:spacing w:after="120" w:before="60" w:line="276"/>
        <w:ind w:left="720" w:hanging="720"/>
        <w:jc w:val="both"/>
      </w:pPr>
      <w:r>
        <w:rPr>
          <w:rFonts w:ascii="Calibri" w:cs="Calibri" w:eastAsia="Calibri" w:hAnsi="Calibri"/>
          <w:sz w:val="21"/>
          <w:szCs w:val="21"/>
        </w:rPr>
        <w:t xml:space="preserve">7.5	</w:t>
      </w:r>
      <w:r>
        <w:rPr>
          <w:rFonts w:ascii="Calibri" w:cs="Calibri" w:eastAsia="Calibri" w:hAnsi="Calibri"/>
          <w:i/>
          <w:iCs/>
          <w:sz w:val="21"/>
          <w:szCs w:val="21"/>
        </w:rPr>
        <w:t xml:space="preserve">Clause 7.4 is worth having and is not a substitute for getting the classification right. An indemnity from a consultant with no assets is worth nothing, and it does not answer a regulatory finding against the Client.</w:t>
      </w:r>
    </w:p>
    <w:p>
      <w:pPr>
        <w:spacing w:after="120" w:before="60" w:line="276"/>
        <w:ind w:left="720" w:hanging="720"/>
        <w:jc w:val="both"/>
      </w:pPr>
      <w:r>
        <w:rPr>
          <w:rFonts w:ascii="Calibri" w:cs="Calibri" w:eastAsia="Calibri" w:hAnsi="Calibri"/>
          <w:sz w:val="21"/>
          <w:szCs w:val="21"/>
        </w:rPr>
        <w:t xml:space="preserve">7.6	</w:t>
      </w:r>
      <w:r>
        <w:rPr>
          <w:rFonts w:ascii="Calibri" w:cs="Calibri" w:eastAsia="Calibri" w:hAnsi="Calibri"/>
          <w:sz w:val="21"/>
          <w:szCs w:val="21"/>
        </w:rPr>
        <w:t xml:space="preserve">Clauses 5, 6 and 7.4 survive termination.</w:t>
      </w:r>
    </w:p>
    <w:p>
      <w:pPr>
        <w:keepNext/>
        <w:spacing w:after="120" w:before="280"/>
        <w:outlineLvl w:val="0"/>
      </w:pPr>
      <w:r>
        <w:rPr>
          <w:rFonts w:ascii="Calibri" w:cs="Calibri" w:eastAsia="Calibri" w:hAnsi="Calibri"/>
          <w:b/>
          <w:bCs/>
          <w:color w:val="14161B"/>
          <w:sz w:val="22"/>
          <w:szCs w:val="22"/>
        </w:rPr>
        <w:t xml:space="preserve">8. GENERAL</w:t>
      </w:r>
    </w:p>
    <w:p>
      <w:pPr>
        <w:spacing w:after="120" w:before="60" w:line="276"/>
        <w:ind w:left="720" w:hanging="720"/>
        <w:jc w:val="both"/>
      </w:pPr>
      <w:r>
        <w:rPr>
          <w:rFonts w:ascii="Calibri" w:cs="Calibri" w:eastAsia="Calibri" w:hAnsi="Calibri"/>
          <w:sz w:val="21"/>
          <w:szCs w:val="21"/>
        </w:rPr>
        <w:t xml:space="preserve">8.1	</w:t>
      </w:r>
      <w:r>
        <w:rPr>
          <w:rFonts w:ascii="Calibri" w:cs="Calibri" w:eastAsia="Calibri" w:hAnsi="Calibri"/>
          <w:sz w:val="21"/>
          <w:szCs w:val="21"/>
        </w:rPr>
        <w:t xml:space="preserve">The Consultant may not subcontract, other than by substitution under Clause 2.5, without the Client’s consent.</w:t>
      </w:r>
    </w:p>
    <w:p>
      <w:pPr>
        <w:spacing w:after="120" w:before="60" w:line="276"/>
        <w:ind w:left="720" w:hanging="720"/>
        <w:jc w:val="both"/>
      </w:pPr>
      <w:r>
        <w:rPr>
          <w:rFonts w:ascii="Calibri" w:cs="Calibri" w:eastAsia="Calibri" w:hAnsi="Calibri"/>
          <w:sz w:val="21"/>
          <w:szCs w:val="21"/>
        </w:rPr>
        <w:t xml:space="preserve">8.2	</w:t>
      </w:r>
      <w:r>
        <w:rPr>
          <w:rFonts w:ascii="Calibri" w:cs="Calibri" w:eastAsia="Calibri" w:hAnsi="Calibri"/>
          <w:sz w:val="21"/>
          <w:szCs w:val="21"/>
        </w:rPr>
        <w:t xml:space="preserve">Neither party may assign without the other’s consent.</w:t>
      </w:r>
    </w:p>
    <w:p>
      <w:pPr>
        <w:spacing w:after="120" w:before="60" w:line="276"/>
        <w:ind w:left="720" w:hanging="720"/>
        <w:jc w:val="both"/>
      </w:pPr>
      <w:r>
        <w:rPr>
          <w:rFonts w:ascii="Calibri" w:cs="Calibri" w:eastAsia="Calibri" w:hAnsi="Calibri"/>
          <w:sz w:val="21"/>
          <w:szCs w:val="21"/>
        </w:rPr>
        <w:t xml:space="preserve">8.3	</w:t>
      </w:r>
      <w:r>
        <w:rPr>
          <w:rFonts w:ascii="Calibri" w:cs="Calibri" w:eastAsia="Calibri" w:hAnsi="Calibri"/>
          <w:sz w:val="21"/>
          <w:szCs w:val="21"/>
        </w:rPr>
        <w:t xml:space="preserve">This is the entire agreement, and no amendment is effective unless in writing and signed.</w:t>
      </w:r>
    </w:p>
    <w:p>
      <w:pPr>
        <w:spacing w:after="120" w:before="60" w:line="276"/>
        <w:ind w:left="720" w:hanging="720"/>
        <w:jc w:val="both"/>
      </w:pPr>
      <w:r>
        <w:rPr>
          <w:rFonts w:ascii="Calibri" w:cs="Calibri" w:eastAsia="Calibri" w:hAnsi="Calibri"/>
          <w:sz w:val="21"/>
          <w:szCs w:val="21"/>
        </w:rPr>
        <w:t xml:space="preserve">8.4	</w:t>
      </w:r>
      <w:r>
        <w:rPr>
          <w:rFonts w:ascii="Calibri" w:cs="Calibri" w:eastAsia="Calibri" w:hAnsi="Calibri"/>
          <w:sz w:val="21"/>
          <w:szCs w:val="21"/>
        </w:rPr>
        <w:t xml:space="preserve">This agreement is governed by the laws of Singapore and the parties submit to the exclusive jurisdiction of the Singapore courts.</w:t>
      </w:r>
    </w:p>
    <w:p>
      <w:pPr>
        <w:spacing w:after="200"/>
      </w:pP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For </w:t>
            </w:r>
            <w:r>
              <w:rPr>
                <w:rFonts w:ascii="Calibri" w:cs="Calibri" w:eastAsia="Calibri" w:hAnsi="Calibri"/>
                <w:b/>
                <w:bCs/>
                <w:sz w:val="21"/>
                <w:szCs w:val="21"/>
              </w:rPr>
              <w:t xml:space="preserve">[CLIENT]</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Name: </w:t>
            </w: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Designation: </w:t>
            </w:r>
            <w:r>
              <w:rPr>
                <w:rFonts w:ascii="Calibri" w:cs="Calibri" w:eastAsia="Calibri" w:hAnsi="Calibri"/>
                <w:b/>
                <w:bCs/>
                <w:sz w:val="21"/>
                <w:szCs w:val="21"/>
              </w:rPr>
              <w:t xml:space="preserve">[DESIGNATION]</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[CONSULTANT]</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Name: </w:t>
            </w:r>
            <w:r>
              <w:rPr>
                <w:rFonts w:ascii="Calibri" w:cs="Calibri" w:eastAsia="Calibri" w:hAnsi="Calibri"/>
                <w:b/>
                <w:bCs/>
                <w:sz w:val="21"/>
                <w:szCs w:val="21"/>
              </w:rPr>
              <w:t xml:space="preserve">[NAME]</w:t>
            </w:r>
          </w:p>
          <w:p>
            <w:pPr>
              <w:spacing w:after="90" w:line="264"/>
            </w:pPr>
            <w:r>
              <w:rPr>
                <w:rFonts w:ascii="Calibri" w:cs="Calibri" w:eastAsia="Calibri" w:hAnsi="Calibri"/>
                <w:b/>
                <w:bCs/>
                <w:sz w:val="21"/>
                <w:szCs w:val="21"/>
              </w:rPr>
              <w:t xml:space="preserve">[UEN / NRIC]</w:t>
            </w:r>
            <w:r>
              <w:rPr>
                <w:rFonts w:ascii="Calibri" w:cs="Calibri" w:eastAsia="Calibri" w:hAnsi="Calibri"/>
                <w:sz w:val="21"/>
                <w:szCs w:val="21"/>
              </w:rPr>
              <w:t xml:space="preserve">: </w:t>
            </w:r>
            <w:r>
              <w:rPr>
                <w:rFonts w:ascii="Calibri" w:cs="Calibri" w:eastAsia="Calibri" w:hAnsi="Calibri"/>
                <w:b/>
                <w:bCs/>
                <w:sz w:val="21"/>
                <w:szCs w:val="21"/>
              </w:rPr>
              <w:t xml:space="preserve">[NUMBER]</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r>
    </w:tbl>
    <w:p>
      <w:pPr>
        <w:spacing w:after="0" w:before="0" w:line="1"/>
      </w:pPr>
      <w:r>
        <w:br w:type="page"/>
      </w:r>
    </w:p>
    <w:p>
      <w:pPr>
        <w:spacing w:after="60" w:before="240"/>
        <w:jc w:val="center"/>
      </w:pPr>
      <w:r>
        <w:rPr>
          <w:rFonts w:ascii="Calibri" w:cs="Calibri" w:eastAsia="Calibri" w:hAnsi="Calibri"/>
          <w:b/>
          <w:bCs/>
          <w:color w:val="14161B"/>
          <w:spacing w:val="12"/>
          <w:sz w:val="28"/>
          <w:szCs w:val="28"/>
        </w:rPr>
        <w:t xml:space="preserve">SCHEDULE</w:t>
      </w:r>
    </w:p>
    <w:p>
      <w:pPr>
        <w:spacing w:after="260"/>
        <w:jc w:val="center"/>
      </w:pPr>
      <w:r>
        <w:rPr>
          <w:rFonts w:ascii="Calibri" w:cs="Calibri" w:eastAsia="Calibri" w:hAnsi="Calibri"/>
          <w:i/>
          <w:iCs/>
          <w:color w:val="6E7480"/>
          <w:sz w:val="19"/>
          <w:szCs w:val="19"/>
        </w:rPr>
        <w:t xml:space="preserve">Services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698"/>
        <w:gridCol w:w="6940"/>
      </w:tblGrid>
      <w:tr>
        <w:trPr>
          <w:tblHeader/>
        </w:trPr>
        <w:tc>
          <w:tcPr>
            <w:tcW w:type="dxa" w:w="269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Item</w:t>
            </w:r>
          </w:p>
        </w:tc>
        <w:tc>
          <w:tcPr>
            <w:tcW w:type="dxa" w:w="694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Detail</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Objective</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[WHAT THE CLIENT NEEDS ACHIEVED]</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Services</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[DESCRIBE BY OUTCOME, not by hours — outcome-based descriptions support contractor status]</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Deliverables</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[ITEMISE, with acceptance criteria]</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Milestones and dates</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[DETAIL]</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Out of scope</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[LIST]</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Client dependencies</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[WHAT THE CLIENT MUST PROVIDE]</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Reporting</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[Frequency and format — progress reporting is fine; daily supervision is not]</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Working arrangements</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[The Consultant determines when and where, save where site access is genuinely required]</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Equipment</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[Consultant’s own, save ______]</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Fees</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 </w:t>
            </w:r>
            <w:r>
              <w:rPr>
                <w:rFonts w:ascii="Calibri" w:cs="Calibri" w:eastAsia="Calibri" w:hAnsi="Calibri"/>
                <w:b/>
                <w:bCs/>
                <w:sz w:val="18"/>
                <w:szCs w:val="18"/>
              </w:rPr>
              <w:t xml:space="preserve">[AMOUNT]</w:t>
            </w:r>
            <w:r>
              <w:rPr>
                <w:rFonts w:ascii="Calibri" w:cs="Calibri" w:eastAsia="Calibri" w:hAnsi="Calibri"/>
                <w:sz w:val="18"/>
                <w:szCs w:val="18"/>
              </w:rPr>
              <w:t xml:space="preserve"> per </w:t>
            </w:r>
            <w:r>
              <w:rPr>
                <w:rFonts w:ascii="Calibri" w:cs="Calibri" w:eastAsia="Calibri" w:hAnsi="Calibri"/>
                <w:b/>
                <w:bCs/>
                <w:sz w:val="18"/>
                <w:szCs w:val="18"/>
              </w:rPr>
              <w:t xml:space="preserve">[basis]</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Expenses</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[Pre-approved, at cost]</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Personal data processed</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[None / Describe]</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Third party or open source material</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[Identify]</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The label does not decide the position</w:t>
      </w:r>
    </w:p>
    <w:p>
      <w:pPr>
        <w:spacing w:after="60" w:line="264"/>
        <w:jc w:val="both"/>
      </w:pPr>
      <w:r>
        <w:rPr>
          <w:rFonts w:ascii="Calibri" w:cs="Calibri" w:eastAsia="Calibri" w:hAnsi="Calibri"/>
          <w:sz w:val="19"/>
          <w:szCs w:val="19"/>
        </w:rPr>
        <w:t xml:space="preserve">Where a person works under a contract of service in substance, the Employment Act applies whatever the document is called. That brings written key employment terms within fourteen days, itemised payslips, statutory leave, and CPF contributions for citizens and permanent residents. Misclassification is discovered when the relationship ends badly, and the exposure is retrospective.</w:t>
      </w:r>
    </w:p>
    <w:p>
      <w:pPr>
        <w:keepNext/>
        <w:spacing w:after="40" w:before="140"/>
      </w:pPr>
      <w:r>
        <w:rPr>
          <w:rFonts w:ascii="Calibri" w:cs="Calibri" w:eastAsia="Calibri" w:hAnsi="Calibri"/>
          <w:b/>
          <w:bCs/>
          <w:color w:val="14161B"/>
          <w:sz w:val="20"/>
          <w:szCs w:val="20"/>
        </w:rPr>
        <w:t xml:space="preserve">Substance over form, assessed as a whole</w:t>
      </w:r>
    </w:p>
    <w:p>
      <w:pPr>
        <w:spacing w:after="60" w:line="264"/>
        <w:jc w:val="both"/>
      </w:pPr>
      <w:r>
        <w:rPr>
          <w:rFonts w:ascii="Calibri" w:cs="Calibri" w:eastAsia="Calibri" w:hAnsi="Calibri"/>
          <w:sz w:val="19"/>
          <w:szCs w:val="19"/>
        </w:rPr>
        <w:t xml:space="preserve">Control over how the work is done, the right of substitution, whose equipment is used, financial risk, integration into the organisation, and whether the person works for others all matter. No single factor decides it. Section 1 exists to force the assessment before signing rather than after a dispute.</w:t>
      </w:r>
    </w:p>
    <w:p>
      <w:pPr>
        <w:keepNext/>
        <w:spacing w:after="40" w:before="140"/>
      </w:pPr>
      <w:r>
        <w:rPr>
          <w:rFonts w:ascii="Calibri" w:cs="Calibri" w:eastAsia="Calibri" w:hAnsi="Calibri"/>
          <w:b/>
          <w:bCs/>
          <w:color w:val="14161B"/>
          <w:sz w:val="20"/>
          <w:szCs w:val="20"/>
        </w:rPr>
        <w:t xml:space="preserve">The two strongest indicators</w:t>
      </w:r>
    </w:p>
    <w:p>
      <w:pPr>
        <w:spacing w:after="60" w:line="264"/>
        <w:jc w:val="both"/>
      </w:pPr>
      <w:r>
        <w:rPr>
          <w:rFonts w:ascii="Calibri" w:cs="Calibri" w:eastAsia="Calibri" w:hAnsi="Calibri"/>
          <w:sz w:val="19"/>
          <w:szCs w:val="19"/>
        </w:rPr>
        <w:t xml:space="preserve">A genuine right of substitution and genuine financial risk are the factors most consistently associated with contractor status. A consultant who must perform personally, is paid regardless of outcome, and bears no cost of correcting errors looks like an employee whatever else the contract says.</w:t>
      </w:r>
    </w:p>
    <w:p>
      <w:pPr>
        <w:keepNext/>
        <w:spacing w:after="40" w:before="140"/>
      </w:pPr>
      <w:r>
        <w:rPr>
          <w:rFonts w:ascii="Calibri" w:cs="Calibri" w:eastAsia="Calibri" w:hAnsi="Calibri"/>
          <w:b/>
          <w:bCs/>
          <w:color w:val="14161B"/>
          <w:sz w:val="20"/>
          <w:szCs w:val="20"/>
        </w:rPr>
        <w:t xml:space="preserve">Do not treat a contractor like staff</w:t>
      </w:r>
    </w:p>
    <w:p>
      <w:pPr>
        <w:spacing w:after="60" w:line="264"/>
        <w:jc w:val="both"/>
      </w:pPr>
      <w:r>
        <w:rPr>
          <w:rFonts w:ascii="Calibri" w:cs="Calibri" w:eastAsia="Calibri" w:hAnsi="Calibri"/>
          <w:sz w:val="19"/>
          <w:szCs w:val="19"/>
        </w:rPr>
        <w:t xml:space="preserve">Company email addresses, a title on the org chart, appraisals, fixed office hours, leave requests and team meetings all point towards employment. Where a long engagement genuinely needs that level of integration, employ the person. The most common failure is a correctly drafted agreement contradicted entirely by how the relationship is actually run.</w:t>
      </w:r>
    </w:p>
    <w:p>
      <w:pPr>
        <w:keepNext/>
        <w:spacing w:after="40" w:before="140"/>
      </w:pPr>
      <w:r>
        <w:rPr>
          <w:rFonts w:ascii="Calibri" w:cs="Calibri" w:eastAsia="Calibri" w:hAnsi="Calibri"/>
          <w:b/>
          <w:bCs/>
          <w:color w:val="14161B"/>
          <w:sz w:val="20"/>
          <w:szCs w:val="20"/>
        </w:rPr>
        <w:t xml:space="preserve">No CPF for a genuine contractor</w:t>
      </w:r>
    </w:p>
    <w:p>
      <w:pPr>
        <w:spacing w:after="60" w:line="264"/>
        <w:jc w:val="both"/>
      </w:pPr>
      <w:r>
        <w:rPr>
          <w:rFonts w:ascii="Calibri" w:cs="Calibri" w:eastAsia="Calibri" w:hAnsi="Calibri"/>
          <w:sz w:val="19"/>
          <w:szCs w:val="19"/>
        </w:rPr>
        <w:t xml:space="preserve">Contributions are not payable for a genuine independent contractor, and the consultant handles their own as a self-employed person where required. Where the classification is wrong, unpaid contributions accrue with interest from the start of the engagement, and that liability sits with the client.</w:t>
      </w:r>
    </w:p>
    <w:p>
      <w:pPr>
        <w:keepNext/>
        <w:spacing w:after="40" w:before="140"/>
      </w:pPr>
      <w:r>
        <w:rPr>
          <w:rFonts w:ascii="Calibri" w:cs="Calibri" w:eastAsia="Calibri" w:hAnsi="Calibri"/>
          <w:b/>
          <w:bCs/>
          <w:color w:val="14161B"/>
          <w:sz w:val="20"/>
          <w:szCs w:val="20"/>
        </w:rPr>
        <w:t xml:space="preserve">Foreign consultants need the right pass</w:t>
      </w:r>
    </w:p>
    <w:p>
      <w:pPr>
        <w:spacing w:after="60" w:line="264"/>
        <w:jc w:val="both"/>
      </w:pPr>
      <w:r>
        <w:rPr>
          <w:rFonts w:ascii="Calibri" w:cs="Calibri" w:eastAsia="Calibri" w:hAnsi="Calibri"/>
          <w:sz w:val="19"/>
          <w:szCs w:val="19"/>
        </w:rPr>
        <w:t xml:space="preserve">A foreign individual cannot simply provide services in Singapore because a contract calls them a contractor. Depending on the arrangement, a work pass may be required, and engaging someone without one exposes the client. Where the consultant is overseas and performing services remotely, the position differs — take advice rather than assuming.</w:t>
      </w:r>
    </w:p>
    <w:p>
      <w:pPr>
        <w:keepNext/>
        <w:spacing w:after="40" w:before="140"/>
      </w:pPr>
      <w:r>
        <w:rPr>
          <w:rFonts w:ascii="Calibri" w:cs="Calibri" w:eastAsia="Calibri" w:hAnsi="Calibri"/>
          <w:b/>
          <w:bCs/>
          <w:color w:val="14161B"/>
          <w:sz w:val="20"/>
          <w:szCs w:val="20"/>
        </w:rPr>
        <w:t xml:space="preserve">Engaging through a company helps but does not settle it</w:t>
      </w:r>
    </w:p>
    <w:p>
      <w:pPr>
        <w:spacing w:after="60" w:line="264"/>
        <w:jc w:val="both"/>
      </w:pPr>
      <w:r>
        <w:rPr>
          <w:rFonts w:ascii="Calibri" w:cs="Calibri" w:eastAsia="Calibri" w:hAnsi="Calibri"/>
          <w:sz w:val="19"/>
          <w:szCs w:val="19"/>
        </w:rPr>
        <w:t xml:space="preserve">Contracting with the consultant’s company rather than the individual strengthens the contractor characterisation and simplifies the tax position. It is not conclusive where the individual is, in substance, working as an employee of the client.</w:t>
      </w:r>
    </w:p>
    <w:p>
      <w:pPr>
        <w:keepNext/>
        <w:spacing w:after="40" w:before="140"/>
      </w:pPr>
      <w:r>
        <w:rPr>
          <w:rFonts w:ascii="Calibri" w:cs="Calibri" w:eastAsia="Calibri" w:hAnsi="Calibri"/>
          <w:b/>
          <w:bCs/>
          <w:color w:val="14161B"/>
          <w:sz w:val="20"/>
          <w:szCs w:val="20"/>
        </w:rPr>
        <w:t xml:space="preserve">The indemnity is a backstop, not a solution</w:t>
      </w:r>
    </w:p>
    <w:p>
      <w:pPr>
        <w:spacing w:after="60" w:line="264"/>
        <w:jc w:val="both"/>
      </w:pPr>
      <w:r>
        <w:rPr>
          <w:rFonts w:ascii="Calibri" w:cs="Calibri" w:eastAsia="Calibri" w:hAnsi="Calibri"/>
          <w:sz w:val="19"/>
          <w:szCs w:val="19"/>
        </w:rPr>
        <w:t xml:space="preserve">Clause 7.4 shifts cost, and it is worth having. But an indemnity from an individual with no assets is uncollectable, and it does nothing about a regulatory finding, unpaid contributions or an employment claim brought against the client. Get the classification right first.</w:t>
      </w:r>
    </w:p>
    <w:p>
      <w:pPr>
        <w:keepNext/>
        <w:spacing w:after="40" w:before="140"/>
      </w:pPr>
      <w:r>
        <w:rPr>
          <w:rFonts w:ascii="Calibri" w:cs="Calibri" w:eastAsia="Calibri" w:hAnsi="Calibri"/>
          <w:b/>
          <w:bCs/>
          <w:color w:val="14161B"/>
          <w:sz w:val="20"/>
          <w:szCs w:val="20"/>
        </w:rPr>
        <w:t xml:space="preserve">Describe services by outcome</w:t>
      </w:r>
    </w:p>
    <w:p>
      <w:pPr>
        <w:spacing w:after="60" w:line="264"/>
        <w:jc w:val="both"/>
      </w:pPr>
      <w:r>
        <w:rPr>
          <w:rFonts w:ascii="Calibri" w:cs="Calibri" w:eastAsia="Calibri" w:hAnsi="Calibri"/>
          <w:sz w:val="19"/>
          <w:szCs w:val="19"/>
        </w:rPr>
        <w:t xml:space="preserve">A schedule describing deliverables and milestones supports contractor status; one describing hours to be worked and duties to be performed under supervision undermines it. This is a drafting choice with real consequences.</w:t>
      </w:r>
    </w:p>
    <w:p>
      <w:pPr>
        <w:keepNext/>
        <w:spacing w:after="40" w:before="140"/>
      </w:pPr>
      <w:r>
        <w:rPr>
          <w:rFonts w:ascii="Calibri" w:cs="Calibri" w:eastAsia="Calibri" w:hAnsi="Calibri"/>
          <w:b/>
          <w:bCs/>
          <w:color w:val="14161B"/>
          <w:sz w:val="20"/>
          <w:szCs w:val="20"/>
        </w:rPr>
        <w:t xml:space="preserve">Assign the IP expressly</w:t>
      </w:r>
    </w:p>
    <w:p>
      <w:pPr>
        <w:spacing w:after="60" w:line="264"/>
        <w:jc w:val="both"/>
      </w:pPr>
      <w:r>
        <w:rPr>
          <w:rFonts w:ascii="Calibri" w:cs="Calibri" w:eastAsia="Calibri" w:hAnsi="Calibri"/>
          <w:sz w:val="19"/>
          <w:szCs w:val="19"/>
        </w:rPr>
        <w:t xml:space="preserve">Absent assignment, intellectual property created by a contractor generally belongs to the contractor — unlike an employee, where work created in the course of employment usually vests in the employer. This is a genuine difference and the most common gap in contractor arrangements.</w:t>
      </w:r>
    </w:p>
    <w:p>
      <w:pPr>
        <w:keepNext/>
        <w:spacing w:after="40" w:before="140"/>
      </w:pPr>
      <w:r>
        <w:rPr>
          <w:rFonts w:ascii="Calibri" w:cs="Calibri" w:eastAsia="Calibri" w:hAnsi="Calibri"/>
          <w:b/>
          <w:bCs/>
          <w:color w:val="14161B"/>
          <w:sz w:val="20"/>
          <w:szCs w:val="20"/>
        </w:rPr>
        <w:t xml:space="preserve">Watch open source and third party material</w:t>
      </w:r>
    </w:p>
    <w:p>
      <w:pPr>
        <w:spacing w:after="60" w:line="264"/>
        <w:jc w:val="both"/>
      </w:pPr>
      <w:r>
        <w:rPr>
          <w:rFonts w:ascii="Calibri" w:cs="Calibri" w:eastAsia="Calibri" w:hAnsi="Calibri"/>
          <w:sz w:val="19"/>
          <w:szCs w:val="19"/>
        </w:rPr>
        <w:t xml:space="preserve">Clause 5.4 requires identification. A contractor building quickly may incorporate open source under a licence with copyleft obligations, which is a serious problem for a client expecting proprietary code. Ask before delivery, not after deployment.</w:t>
      </w:r>
    </w:p>
    <w:p>
      <w:pPr>
        <w:keepNext/>
        <w:spacing w:after="40" w:before="140"/>
      </w:pPr>
      <w:r>
        <w:rPr>
          <w:rFonts w:ascii="Calibri" w:cs="Calibri" w:eastAsia="Calibri" w:hAnsi="Calibri"/>
          <w:b/>
          <w:bCs/>
          <w:color w:val="14161B"/>
          <w:sz w:val="20"/>
          <w:szCs w:val="20"/>
        </w:rPr>
        <w:t xml:space="preserve">Keep restraints narrow</w:t>
      </w:r>
    </w:p>
    <w:p>
      <w:pPr>
        <w:spacing w:after="60" w:line="264"/>
        <w:jc w:val="both"/>
      </w:pPr>
      <w:r>
        <w:rPr>
          <w:rFonts w:ascii="Calibri" w:cs="Calibri" w:eastAsia="Calibri" w:hAnsi="Calibri"/>
          <w:sz w:val="19"/>
          <w:szCs w:val="19"/>
        </w:rPr>
        <w:t xml:space="preserve">Post-engagement restrictions on a contractor are harder to justify than on an employee, because the contractor has a legitimate interest in working for others — that is the nature of the relationship. Because an over-broad restraint fails entirely in Singapore, a modest non-solicitation is worth more than an ambitious non-compete.</w:t>
      </w:r>
    </w:p>
    <w:p>
      <w:pPr>
        <w:keepNext/>
        <w:spacing w:after="40" w:before="140"/>
      </w:pPr>
      <w:r>
        <w:rPr>
          <w:rFonts w:ascii="Calibri" w:cs="Calibri" w:eastAsia="Calibri" w:hAnsi="Calibri"/>
          <w:b/>
          <w:bCs/>
          <w:color w:val="14161B"/>
          <w:sz w:val="20"/>
          <w:szCs w:val="20"/>
        </w:rPr>
        <w:t xml:space="preserve">GST and withholding</w:t>
      </w:r>
    </w:p>
    <w:p>
      <w:pPr>
        <w:spacing w:after="60" w:line="264"/>
        <w:jc w:val="both"/>
      </w:pPr>
      <w:r>
        <w:rPr>
          <w:rFonts w:ascii="Calibri" w:cs="Calibri" w:eastAsia="Calibri" w:hAnsi="Calibri"/>
          <w:sz w:val="19"/>
          <w:szCs w:val="19"/>
        </w:rPr>
        <w:t xml:space="preserve">A GST-registered consultant charges GST in addition and must issue a valid tax invoice. Where the consultant is non-resident, withholding tax may apply to certain payments — Clause 3.8 addresses it. Both are routinely overlooked until the first invoice.</w:t>
      </w:r>
    </w:p>
    <w:p>
      <w:pPr>
        <w:keepNext/>
        <w:spacing w:after="40" w:before="140"/>
      </w:pPr>
      <w:r>
        <w:rPr>
          <w:rFonts w:ascii="Calibri" w:cs="Calibri" w:eastAsia="Calibri" w:hAnsi="Calibri"/>
          <w:b/>
          <w:bCs/>
          <w:color w:val="14161B"/>
          <w:sz w:val="20"/>
          <w:szCs w:val="20"/>
        </w:rPr>
        <w:t xml:space="preserve">Review long engagements</w:t>
      </w:r>
    </w:p>
    <w:p>
      <w:pPr>
        <w:spacing w:after="60" w:line="264"/>
        <w:jc w:val="both"/>
      </w:pPr>
      <w:r>
        <w:rPr>
          <w:rFonts w:ascii="Calibri" w:cs="Calibri" w:eastAsia="Calibri" w:hAnsi="Calibri"/>
          <w:sz w:val="19"/>
          <w:szCs w:val="19"/>
        </w:rPr>
        <w:t xml:space="preserve">An arrangement that was genuinely a contractor engagement at the outset can drift into employment over years as the person becomes embedded. Reassess the classification annually for any engagement running beyond twelve months.</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Singapore law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Employment status tests, CPF obligations, work pass requirements, GST and withholding tax rules all change, and a review of the Employment Act is under way with proposals expected in the second half of 2026 — take advice on classification for any significant or long-running engagement.</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2026-08-22T06:55:30.995Z</dcterms:created>
  <dcterms:modified xsi:type="dcterms:W3CDTF">2026-08-22T06:55:30.995Z</dcterms:modified>
</cp:coreProperties>
</file>

<file path=docProps/custom.xml><?xml version="1.0" encoding="utf-8"?>
<Properties xmlns="http://schemas.openxmlformats.org/officeDocument/2006/custom-properties" xmlns:vt="http://schemas.openxmlformats.org/officeDocument/2006/docPropsVTypes"/>
</file>