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CONSENT AND NOTIFICATION</w:t>
      </w:r>
    </w:p>
    <w:p>
      <w:pPr>
        <w:spacing w:after="260"/>
        <w:jc w:val="center"/>
      </w:pPr>
      <w:r>
        <w:rPr>
          <w:rFonts w:ascii="Calibri" w:cs="Calibri" w:eastAsia="Calibri" w:hAnsi="Calibri"/>
          <w:i/>
          <w:iCs/>
          <w:color w:val="6E7480"/>
          <w:sz w:val="19"/>
          <w:szCs w:val="19"/>
        </w:rPr>
        <w:t xml:space="preserve">Collecting personal data lawfully</w:t>
      </w:r>
    </w:p>
    <w:p>
      <w:pPr>
        <w:spacing w:after="180" w:before="0" w:line="276"/>
        <w:jc w:val="both"/>
      </w:pPr>
      <w:r>
        <w:rPr>
          <w:rFonts w:ascii="Calibri" w:cs="Calibri" w:eastAsia="Calibri" w:hAnsi="Calibri"/>
          <w:i/>
          <w:iCs/>
          <w:color w:val="6E7480"/>
          <w:sz w:val="21"/>
          <w:szCs w:val="21"/>
        </w:rPr>
        <w:t xml:space="preserve">Consent is not the only lawful basis, and it is often the weakest. It can be withdrawn, it must be freely given, and it cannot be bundled into terms as a condition of a service beyond what is reasonably required. Where another basis genuinely applies, use it — but identify it and, where required, assess and document it before relying on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effective </w:t>
            </w: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[Customers / Employees / Applicants / Website visitors / Event attendees]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any change to processing</w:t>
            </w:r>
          </w:p>
        </w:tc>
      </w:tr>
    </w:tbl>
    <w:p>
      <w:pPr>
        <w:spacing w:after="180"/>
      </w:pPr>
    </w:p>
    <w:p>
      <w:pPr>
        <w:keepNext/>
        <w:spacing w:after="120" w:before="280"/>
        <w:outlineLvl w:val="0"/>
      </w:pPr>
      <w:r>
        <w:rPr>
          <w:rFonts w:ascii="Calibri" w:cs="Calibri" w:eastAsia="Calibri" w:hAnsi="Calibri"/>
          <w:b/>
          <w:bCs/>
          <w:color w:val="14161B"/>
          <w:sz w:val="22"/>
          <w:szCs w:val="22"/>
        </w:rPr>
        <w:t xml:space="preserve">1. CHOOSING THE BASIS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662"/>
        <w:gridCol w:w="3663"/>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 it applies</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is required of us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no other basis fits and the individual can genuinely choose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Clear notification of purposes; voluntary agreement; a route to withdraw</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Deemed consent by conduct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individual voluntarily provides data for an obvious purpose — giving a card to make a booking</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purpose must be genuinely obvious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Deemed consent by contractual necessity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Disclosure necessary to conclude or perform a contract the individual requested</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Notification, and limited to what is necessary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Legitimate interests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the benefit to the public or a section of it outweighs adverse effect on the individual</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 assessment must be carried out and documented before relying on it</w:t>
            </w:r>
            <w:r>
              <w:rPr>
                <w:rFonts w:ascii="Calibri" w:cs="Calibri" w:eastAsia="Calibri" w:hAnsi="Calibri"/>
                <w:sz w:val="17"/>
                <w:szCs w:val="17"/>
              </w:rPr>
              <w:t xml:space="preserve">; disclose reliance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Business improvement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Improving or developing goods, services, methods or processes; learning about customer needs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Confined to the permitted purposes; assessment where required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Research</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Research and development meeting the prescribed conditions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Conditions must be met and documented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Vital interests, emergencies, legal requirement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prescribed exceptions apply</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specific exception; do not use as a general fallback</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Record the basis for each processing activity in the data inventory. An organisation that cannot say why it is entitled to hold something is not in a position to defend it.</w:t>
      </w:r>
    </w:p>
    <w:p>
      <w:pPr>
        <w:keepNext/>
        <w:spacing w:after="120" w:before="280"/>
        <w:outlineLvl w:val="0"/>
      </w:pPr>
      <w:r>
        <w:rPr>
          <w:rFonts w:ascii="Calibri" w:cs="Calibri" w:eastAsia="Calibri" w:hAnsi="Calibri"/>
          <w:b/>
          <w:bCs/>
          <w:color w:val="14161B"/>
          <w:sz w:val="22"/>
          <w:szCs w:val="22"/>
        </w:rPr>
        <w:t xml:space="preserve">2. RULES FOR VALID CONSENT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individual must be </w:t>
      </w:r>
      <w:r>
        <w:rPr>
          <w:rFonts w:ascii="Calibri" w:cs="Calibri" w:eastAsia="Calibri" w:hAnsi="Calibri"/>
          <w:b/>
          <w:bCs/>
          <w:sz w:val="21"/>
          <w:szCs w:val="21"/>
        </w:rPr>
        <w:t xml:space="preserve">notified of the purposes</w:t>
      </w:r>
      <w:r>
        <w:rPr>
          <w:rFonts w:ascii="Calibri" w:cs="Calibri" w:eastAsia="Calibri" w:hAnsi="Calibri"/>
          <w:sz w:val="21"/>
          <w:szCs w:val="21"/>
        </w:rPr>
        <w:t xml:space="preserve"> before or at the time of collection.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Consent must be </w:t>
      </w:r>
      <w:r>
        <w:rPr>
          <w:rFonts w:ascii="Calibri" w:cs="Calibri" w:eastAsia="Calibri" w:hAnsi="Calibri"/>
          <w:b/>
          <w:bCs/>
          <w:sz w:val="21"/>
          <w:szCs w:val="21"/>
        </w:rPr>
        <w:t xml:space="preserve">voluntary</w:t>
      </w:r>
      <w:r>
        <w:rPr>
          <w:rFonts w:ascii="Calibri" w:cs="Calibri" w:eastAsia="Calibri" w:hAnsi="Calibri"/>
          <w:sz w:val="21"/>
          <w:szCs w:val="21"/>
        </w:rPr>
        <w:t xml:space="preserve">. Consent obtained by requiring it as a condition of providing a product or service, </w:t>
      </w:r>
      <w:r>
        <w:rPr>
          <w:rFonts w:ascii="Calibri" w:cs="Calibri" w:eastAsia="Calibri" w:hAnsi="Calibri"/>
          <w:b/>
          <w:bCs/>
          <w:sz w:val="21"/>
          <w:szCs w:val="21"/>
        </w:rPr>
        <w:t xml:space="preserve">beyond what is reasonably required to provide that product or service</w:t>
      </w:r>
      <w:r>
        <w:rPr>
          <w:rFonts w:ascii="Calibri" w:cs="Calibri" w:eastAsia="Calibri" w:hAnsi="Calibri"/>
          <w:sz w:val="21"/>
          <w:szCs w:val="21"/>
        </w:rPr>
        <w:t xml:space="preserve">, is not valid.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Consent must not be obtained by providing false or misleading information about the purposes, or by deceptive practices.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Consent is </w:t>
      </w:r>
      <w:r>
        <w:rPr>
          <w:rFonts w:ascii="Calibri" w:cs="Calibri" w:eastAsia="Calibri" w:hAnsi="Calibri"/>
          <w:b/>
          <w:bCs/>
          <w:sz w:val="21"/>
          <w:szCs w:val="21"/>
        </w:rPr>
        <w:t xml:space="preserve">specific to the purposes notified</w:t>
      </w:r>
      <w:r>
        <w:rPr>
          <w:rFonts w:ascii="Calibri" w:cs="Calibri" w:eastAsia="Calibri" w:hAnsi="Calibri"/>
          <w:sz w:val="21"/>
          <w:szCs w:val="21"/>
        </w:rPr>
        <w:t xml:space="preserve">. Collecting data for one purpose and later using it for an unrelated one requires fresh consent or another basis.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A person may </w:t>
      </w:r>
      <w:r>
        <w:rPr>
          <w:rFonts w:ascii="Calibri" w:cs="Calibri" w:eastAsia="Calibri" w:hAnsi="Calibri"/>
          <w:b/>
          <w:bCs/>
          <w:sz w:val="21"/>
          <w:szCs w:val="21"/>
        </w:rPr>
        <w:t xml:space="preserve">withdraw consent</w:t>
      </w:r>
      <w:r>
        <w:rPr>
          <w:rFonts w:ascii="Calibri" w:cs="Calibri" w:eastAsia="Calibri" w:hAnsi="Calibri"/>
          <w:sz w:val="21"/>
          <w:szCs w:val="21"/>
        </w:rPr>
        <w:t xml:space="preserve"> at any time on reasonable notice. The Company must inform them of the likely consequences and must then cease the relevant processing.</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Where consent is given by a person on behalf of another, the Company must be satisfied they are authorised to do so.</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sz w:val="21"/>
          <w:szCs w:val="21"/>
        </w:rPr>
        <w:t xml:space="preserve">The Company will keep a record of consent obtained — what was consented to, when, and how.</w:t>
      </w:r>
    </w:p>
    <w:p>
      <w:pPr>
        <w:keepNext/>
        <w:spacing w:after="120" w:before="280"/>
        <w:outlineLvl w:val="0"/>
      </w:pPr>
      <w:r>
        <w:rPr>
          <w:rFonts w:ascii="Calibri" w:cs="Calibri" w:eastAsia="Calibri" w:hAnsi="Calibri"/>
          <w:b/>
          <w:bCs/>
          <w:color w:val="14161B"/>
          <w:sz w:val="22"/>
          <w:szCs w:val="22"/>
        </w:rPr>
        <w:t xml:space="preserve">3. NOTIFICATION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notification should state, in plain language: what data is collected; the purposes; who it may be disclosed to; how long it is kept; whether it is transferred outside Singapore; the individual’s rights of access, correction and withdrawal; and the Data Protection Officer’s contact.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Purposes must be stated specifically enough to be meaningful. </w:t>
      </w:r>
      <w:r>
        <w:rPr>
          <w:rFonts w:ascii="Calibri" w:cs="Calibri" w:eastAsia="Calibri" w:hAnsi="Calibri"/>
          <w:i/>
          <w:iCs/>
          <w:sz w:val="21"/>
          <w:szCs w:val="21"/>
        </w:rPr>
        <w:t xml:space="preserve">"For business purposes" and "for such purposes as we may determine" notify nothing.</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Where a new purpose is introduced, individuals must be notified and, where consent is the basis, fresh consent obtained.</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Consent and Notification Form — Customers</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 Personal data notification and consent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we collect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THE ACTUAL CATEGORIES — name, contact details, identification number if genuinely needed, payment details, transaction history, other]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 — necessary purposes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 PROVIDE THE SERVICE, PROCESS PAYMENT, PROVIDE SUPPORT, MEET LEGAL AND TAX OBLIGATIONS, PREVENT FRAUD]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 — optional purposes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[MARKETING, PROFILING, SHARING WITH PARTNERS — these must be separately optional]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 we share it with</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 OF RECIPIENT — payment processor, delivery provider, cloud host, professional advisers]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Transferred outside Singapore?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to ______, protected by ______ / No]</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long we keep it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 AND THE REASON]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Your rights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 correction, and withdrawal of consent. Contact our Data Protection Officer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Contact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Data Protection Officer, </w:t>
            </w:r>
            <w:r>
              <w:rPr>
                <w:rFonts w:ascii="Calibri" w:cs="Calibri" w:eastAsia="Calibri" w:hAnsi="Calibri"/>
                <w:b/>
                <w:bCs/>
                <w:sz w:val="18"/>
                <w:szCs w:val="18"/>
              </w:rPr>
              <w:t xml:space="preserve">[EMAIL]</w:t>
            </w:r>
            <w:r>
              <w:rPr>
                <w:rFonts w:ascii="Calibri" w:cs="Calibri" w:eastAsia="Calibri" w:hAnsi="Calibri"/>
                <w:sz w:val="18"/>
                <w:szCs w:val="18"/>
              </w:rPr>
              <w:t xml:space="preserve">, </w:t>
            </w:r>
            <w:r>
              <w:rPr>
                <w:rFonts w:ascii="Calibri" w:cs="Calibri" w:eastAsia="Calibri" w:hAnsi="Calibri"/>
                <w:b/>
                <w:bCs/>
                <w:sz w:val="18"/>
                <w:szCs w:val="18"/>
              </w:rPr>
              <w:t xml:space="preserve">[PHONE]</w:t>
            </w:r>
          </w:p>
        </w:tc>
      </w:tr>
    </w:tbl>
    <w:p>
      <w:pPr>
        <w:spacing w:after="160"/>
      </w:pPr>
    </w:p>
    <w:p>
      <w:pPr>
        <w:spacing w:after="120" w:before="0" w:line="276"/>
        <w:jc w:val="both"/>
      </w:pPr>
      <w:r>
        <w:rPr>
          <w:rFonts w:ascii="Calibri" w:cs="Calibri" w:eastAsia="Calibri" w:hAnsi="Calibri"/>
          <w:b/>
          <w:bCs/>
          <w:sz w:val="21"/>
          <w:szCs w:val="21"/>
        </w:rPr>
        <w:t xml:space="preserve">Your choices.</w:t>
      </w:r>
      <w:r>
        <w:rPr>
          <w:rFonts w:ascii="Calibri" w:cs="Calibri" w:eastAsia="Calibri" w:hAnsi="Calibri"/>
          <w:sz w:val="21"/>
          <w:szCs w:val="21"/>
        </w:rPr>
        <w:t xml:space="preserve"> The first item is necessary for us to provide the service. The others are optional and you may say no to any of them without affecting the service you receive.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047"/>
        <w:gridCol w:w="2891"/>
        <w:gridCol w:w="221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22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Your choice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Providing the service you have asked for, processing payment and providing support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Necessary</w:t>
            </w:r>
            <w:r>
              <w:rPr>
                <w:rFonts w:ascii="Calibri" w:cs="Calibri" w:eastAsia="Calibri" w:hAnsi="Calibri"/>
                <w:sz w:val="18"/>
                <w:szCs w:val="18"/>
              </w:rPr>
              <w:t xml:space="preserve"> — required to provide the service</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optional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Sending you marketing about our own products and services by email</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Contacting you by telephone or text message with marketing</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 — </w:t>
            </w:r>
            <w:r>
              <w:rPr>
                <w:rFonts w:ascii="Calibri" w:cs="Calibri" w:eastAsia="Calibri" w:hAnsi="Calibri"/>
                <w:i/>
                <w:iCs/>
                <w:sz w:val="18"/>
                <w:szCs w:val="18"/>
              </w:rPr>
              <w:t xml:space="preserve">Do Not Call rules also apply</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Sharing your details with </w:t>
            </w:r>
            <w:r>
              <w:rPr>
                <w:rFonts w:ascii="Calibri" w:cs="Calibri" w:eastAsia="Calibri" w:hAnsi="Calibri"/>
                <w:b/>
                <w:bCs/>
                <w:sz w:val="18"/>
                <w:szCs w:val="18"/>
              </w:rPr>
              <w:t xml:space="preserve">[NAMED PARTNERS]</w:t>
            </w:r>
            <w:r>
              <w:rPr>
                <w:rFonts w:ascii="Calibri" w:cs="Calibri" w:eastAsia="Calibri" w:hAnsi="Calibri"/>
                <w:sz w:val="18"/>
                <w:szCs w:val="18"/>
              </w:rPr>
              <w:t xml:space="preserve"> for their marketing</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Using your data to personalise what we show you</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optional purpose]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Consent</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bl>
    <w:p>
      <w:pPr>
        <w:spacing w:after="140"/>
      </w:pPr>
    </w:p>
    <w:p>
      <w:pPr>
        <w:spacing w:after="160" w:before="0" w:line="276"/>
        <w:jc w:val="both"/>
      </w:pPr>
      <w:r>
        <w:rPr>
          <w:rFonts w:ascii="Calibri" w:cs="Calibri" w:eastAsia="Calibri" w:hAnsi="Calibri"/>
          <w:sz w:val="21"/>
          <w:szCs w:val="21"/>
        </w:rPr>
        <w:t xml:space="preserve">You may change any of these choices at any time by contacting our Data Protection Officer. We will tell you if withdrawal affects anything, and will then stop.</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Collected by:</w:t>
            </w:r>
            <w:r>
              <w:rPr>
                <w:rFonts w:ascii="Calibri" w:cs="Calibri" w:eastAsia="Calibri" w:hAnsi="Calibri"/>
                <w:sz w:val="21"/>
                <w:szCs w:val="21"/>
              </w:rPr>
              <w:t xml:space="preserve"> </w:t>
            </w:r>
            <w:r>
              <w:rPr>
                <w:rFonts w:ascii="Calibri" w:cs="Calibri" w:eastAsia="Calibri" w:hAnsi="Calibri"/>
                <w:b/>
                <w:bCs/>
                <w:sz w:val="21"/>
                <w:szCs w:val="21"/>
              </w:rPr>
              <w:t xml:space="preserve">[NAME]</w:t>
            </w:r>
          </w:p>
          <w:p>
            <w:pPr>
              <w:spacing w:after="90" w:line="264"/>
            </w:pPr>
            <w:r>
              <w:rPr>
                <w:rFonts w:ascii="Calibri" w:cs="Calibri" w:eastAsia="Calibri" w:hAnsi="Calibri"/>
                <w:i/>
                <w:iCs/>
                <w:sz w:val="21"/>
                <w:szCs w:val="21"/>
              </w:rPr>
              <w:t xml:space="preserve">Channel:</w:t>
            </w:r>
            <w:r>
              <w:rPr>
                <w:rFonts w:ascii="Calibri" w:cs="Calibri" w:eastAsia="Calibri" w:hAnsi="Calibri"/>
                <w:sz w:val="21"/>
                <w:szCs w:val="21"/>
              </w:rPr>
              <w:t xml:space="preserve"> </w:t>
            </w:r>
            <w:r>
              <w:rPr>
                <w:rFonts w:ascii="Calibri" w:cs="Calibri" w:eastAsia="Calibri" w:hAnsi="Calibri"/>
                <w:b/>
                <w:bCs/>
                <w:sz w:val="21"/>
                <w:szCs w:val="21"/>
              </w:rPr>
              <w:t xml:space="preserve">[Online / In person / Paper]</w:t>
            </w:r>
          </w:p>
          <w:p>
            <w:pPr>
              <w:spacing w:after="90" w:line="264"/>
            </w:pPr>
            <w:r>
              <w:rPr>
                <w:rFonts w:ascii="Calibri" w:cs="Calibri" w:eastAsia="Calibri" w:hAnsi="Calibri"/>
                <w:i/>
                <w:iCs/>
                <w:sz w:val="21"/>
                <w:szCs w:val="21"/>
              </w:rPr>
              <w:t xml:space="preserve">Record reference:</w:t>
            </w:r>
            <w:r>
              <w:rPr>
                <w:rFonts w:ascii="Calibri" w:cs="Calibri" w:eastAsia="Calibri" w:hAnsi="Calibri"/>
                <w:sz w:val="21"/>
                <w:szCs w:val="21"/>
              </w:rPr>
              <w:t xml:space="preserve"> </w:t>
            </w:r>
            <w:r>
              <w:rPr>
                <w:rFonts w:ascii="Calibri" w:cs="Calibri" w:eastAsia="Calibri" w:hAnsi="Calibri"/>
                <w:b/>
                <w:bCs/>
                <w:sz w:val="21"/>
                <w:szCs w:val="21"/>
              </w:rPr>
              <w:t xml:space="preserve">[REF]</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Employee Privacy Notice</w:t>
      </w:r>
    </w:p>
    <w:p>
      <w:pPr>
        <w:spacing w:after="140" w:before="0" w:line="276"/>
        <w:jc w:val="both"/>
      </w:pPr>
      <w:r>
        <w:rPr>
          <w:rFonts w:ascii="Calibri" w:cs="Calibri" w:eastAsia="Calibri" w:hAnsi="Calibri"/>
          <w:i/>
          <w:iCs/>
          <w:sz w:val="21"/>
          <w:szCs w:val="21"/>
        </w:rPr>
        <w:t xml:space="preserve">Give this at induction. Employment data is personal data and the notification obligation applies to employees as to anyone else.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we collect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Identity and contact details, identification and pass numbers, bank details, qualifications and references, salary and benefits, performance and disciplinary records, leave and attendance, medical certificates, next of kin, </w:t>
            </w:r>
            <w:r>
              <w:rPr>
                <w:rFonts w:ascii="Calibri" w:cs="Calibri" w:eastAsia="Calibri" w:hAnsi="Calibri"/>
                <w:b/>
                <w:bCs/>
                <w:sz w:val="18"/>
                <w:szCs w:val="18"/>
              </w:rPr>
              <w:t xml:space="preserve">[CCTV or system monitoring data where applicable]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Managing the employment relationship: payroll, statutory contributions and filings, work pass administration, benefits, performance management, discipline, workplace safety, and meeting legal obligations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Who we share it with</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Statutory authorities as required; the Central Provident Fund Board and tax authority; insurers; payroll and benefits providers; </w:t>
            </w:r>
            <w:r>
              <w:rPr>
                <w:rFonts w:ascii="Calibri" w:cs="Calibri" w:eastAsia="Calibri" w:hAnsi="Calibri"/>
                <w:b/>
                <w:bCs/>
                <w:sz w:val="18"/>
                <w:szCs w:val="18"/>
              </w:rPr>
              <w:t xml:space="preserve">[OTHERS — name the categories]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Transfers outside Singapore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a group system or overseas provider is used — state it and the protection relied 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Monitoring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[STATE WHAT IS MONITORED AND HOW — email, systems, building access, vehicle tracking, CCTV. Undisclosed monitoring is a data protection problem]</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long we keep it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 THE RETENTION SCHEDULE — note that employment records carry statutory minimums and tax records longer]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Your rights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 correction, and to raise a concern with the Data Protection Officer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Contact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Data Protection Officer, </w:t>
            </w:r>
            <w:r>
              <w:rPr>
                <w:rFonts w:ascii="Calibri" w:cs="Calibri" w:eastAsia="Calibri" w:hAnsi="Calibri"/>
                <w:b/>
                <w:bCs/>
                <w:sz w:val="18"/>
                <w:szCs w:val="18"/>
              </w:rPr>
              <w:t xml:space="preserve">[EMAIL]</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Consent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252"/>
        <w:gridCol w:w="867"/>
        <w:gridCol w:w="963"/>
        <w:gridCol w:w="1542"/>
        <w:gridCol w:w="1349"/>
        <w:gridCol w:w="963"/>
        <w:gridCol w:w="1156"/>
        <w:gridCol w:w="1161"/>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Individual</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Purposes consented</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Purposes declined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Version of notice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Withdrawal received</w:t>
            </w:r>
          </w:p>
        </w:tc>
        <w:tc>
          <w:tcPr>
            <w:tcW w:type="dxa" w:w="116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 taken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[VERSION]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6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[VERSION]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6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[CHANNEL]</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[VERSION]</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16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[ACTION]</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D</w:t>
      </w:r>
    </w:p>
    <w:p>
      <w:pPr>
        <w:spacing w:after="260"/>
        <w:jc w:val="center"/>
      </w:pPr>
      <w:r>
        <w:rPr>
          <w:rFonts w:ascii="Calibri" w:cs="Calibri" w:eastAsia="Calibri" w:hAnsi="Calibri"/>
          <w:i/>
          <w:iCs/>
          <w:color w:val="6E7480"/>
          <w:sz w:val="19"/>
          <w:szCs w:val="19"/>
        </w:rPr>
        <w:t xml:space="preserve">Legitimate Interests Assessment</w:t>
      </w:r>
    </w:p>
    <w:p>
      <w:pPr>
        <w:spacing w:after="140" w:before="0" w:line="276"/>
        <w:jc w:val="both"/>
      </w:pPr>
      <w:r>
        <w:rPr>
          <w:rFonts w:ascii="Calibri" w:cs="Calibri" w:eastAsia="Calibri" w:hAnsi="Calibri"/>
          <w:i/>
          <w:iCs/>
          <w:sz w:val="21"/>
          <w:szCs w:val="21"/>
        </w:rPr>
        <w:t xml:space="preserve">Complete before relying on the legitimate interests basis. This is the record that evidences the assessment was actually made.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462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46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Answer</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the processing activity?</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is the legitimate interest, and whose?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Why is consent not appropriate or practicable here?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[EXPLAIN]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 the processing necessary to achieve that interest?</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 — explain]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Could the interest be achieved with less data, or less intrusively?</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[EXPLAIN]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adverse effect could there be on the individual?</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What measures reduce that adverse effect?</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Does the benefit outweigh the residual adverse effect?</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[CONCLUSION AND REASONING]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will reliance on this basis be disclosed?</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AND HOW]</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Assessed by, approved by, and date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[NAMES AND 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date</w:t>
            </w:r>
          </w:p>
        </w:tc>
        <w:tc>
          <w:tcPr>
            <w:tcW w:type="dxa" w:w="46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Consent is a basis, not the basis</w:t>
      </w:r>
    </w:p>
    <w:p>
      <w:pPr>
        <w:spacing w:after="60" w:line="264"/>
        <w:jc w:val="both"/>
      </w:pPr>
      <w:r>
        <w:rPr>
          <w:rFonts w:ascii="Calibri" w:cs="Calibri" w:eastAsia="Calibri" w:hAnsi="Calibri"/>
          <w:sz w:val="19"/>
          <w:szCs w:val="19"/>
        </w:rPr>
        <w:t xml:space="preserve">Organisations default to consent because it feels safest, and then discover it is the most fragile option — withdrawable at any time, invalid if bundled, and specific to the purposes notified. Where deemed consent, legitimate interests or business improvement genuinely applies, that is often both more accurate and more robust. Identify the basis per activity and record it.</w:t>
      </w:r>
    </w:p>
    <w:p>
      <w:pPr>
        <w:keepNext/>
        <w:spacing w:after="40" w:before="140"/>
      </w:pPr>
      <w:r>
        <w:rPr>
          <w:rFonts w:ascii="Calibri" w:cs="Calibri" w:eastAsia="Calibri" w:hAnsi="Calibri"/>
          <w:b/>
          <w:bCs/>
          <w:color w:val="14161B"/>
          <w:sz w:val="20"/>
          <w:szCs w:val="20"/>
        </w:rPr>
        <w:t xml:space="preserve">Do not bundle consent into terms</w:t>
      </w:r>
    </w:p>
    <w:p>
      <w:pPr>
        <w:spacing w:after="60" w:line="264"/>
        <w:jc w:val="both"/>
      </w:pPr>
      <w:r>
        <w:rPr>
          <w:rFonts w:ascii="Calibri" w:cs="Calibri" w:eastAsia="Calibri" w:hAnsi="Calibri"/>
          <w:sz w:val="19"/>
          <w:szCs w:val="19"/>
        </w:rPr>
        <w:t xml:space="preserve">Consent required as a condition of a product or service, beyond what is reasonably required to provide it, is not valid. The classic failure is a single tick box covering service delivery and marketing together. Annexure A separates necessary from optional deliberately, and the optional items must be genuinely optional.</w:t>
      </w:r>
    </w:p>
    <w:p>
      <w:pPr>
        <w:keepNext/>
        <w:spacing w:after="40" w:before="140"/>
      </w:pPr>
      <w:r>
        <w:rPr>
          <w:rFonts w:ascii="Calibri" w:cs="Calibri" w:eastAsia="Calibri" w:hAnsi="Calibri"/>
          <w:b/>
          <w:bCs/>
          <w:color w:val="14161B"/>
          <w:sz w:val="20"/>
          <w:szCs w:val="20"/>
        </w:rPr>
        <w:t xml:space="preserve">Legitimate interests requires an assessment, before reliance</w:t>
      </w:r>
    </w:p>
    <w:p>
      <w:pPr>
        <w:spacing w:after="60" w:line="264"/>
        <w:jc w:val="both"/>
      </w:pPr>
      <w:r>
        <w:rPr>
          <w:rFonts w:ascii="Calibri" w:cs="Calibri" w:eastAsia="Calibri" w:hAnsi="Calibri"/>
          <w:sz w:val="19"/>
          <w:szCs w:val="19"/>
        </w:rPr>
        <w:t xml:space="preserve">This is not a free pass. An assessment must be carried out and documented, and reliance disclosed. Annexure D is that record. Deciding after a complaint that the basis was legitimate interests all along, with no contemporaneous assessment, is not a defence.</w:t>
      </w:r>
    </w:p>
    <w:p>
      <w:pPr>
        <w:keepNext/>
        <w:spacing w:after="40" w:before="140"/>
      </w:pPr>
      <w:r>
        <w:rPr>
          <w:rFonts w:ascii="Calibri" w:cs="Calibri" w:eastAsia="Calibri" w:hAnsi="Calibri"/>
          <w:b/>
          <w:bCs/>
          <w:color w:val="14161B"/>
          <w:sz w:val="20"/>
          <w:szCs w:val="20"/>
        </w:rPr>
        <w:t xml:space="preserve">State purposes specifically</w:t>
      </w:r>
    </w:p>
    <w:p>
      <w:pPr>
        <w:spacing w:after="60" w:line="264"/>
        <w:jc w:val="both"/>
      </w:pPr>
      <w:r>
        <w:rPr>
          <w:rFonts w:ascii="Calibri" w:cs="Calibri" w:eastAsia="Calibri" w:hAnsi="Calibri"/>
          <w:sz w:val="19"/>
          <w:szCs w:val="19"/>
        </w:rPr>
        <w:t xml:space="preserve">A notification saying data will be used "for business purposes" or "for such purposes as we may determine" notifies nothing and will not support any later use. Purposes must be specific enough that an individual can understand what they are agreeing to.</w:t>
      </w:r>
    </w:p>
    <w:p>
      <w:pPr>
        <w:keepNext/>
        <w:spacing w:after="40" w:before="140"/>
      </w:pPr>
      <w:r>
        <w:rPr>
          <w:rFonts w:ascii="Calibri" w:cs="Calibri" w:eastAsia="Calibri" w:hAnsi="Calibri"/>
          <w:b/>
          <w:bCs/>
          <w:color w:val="14161B"/>
          <w:sz w:val="20"/>
          <w:szCs w:val="20"/>
        </w:rPr>
        <w:t xml:space="preserve">Consent does not travel to new purposes</w:t>
      </w:r>
    </w:p>
    <w:p>
      <w:pPr>
        <w:spacing w:after="60" w:line="264"/>
        <w:jc w:val="both"/>
      </w:pPr>
      <w:r>
        <w:rPr>
          <w:rFonts w:ascii="Calibri" w:cs="Calibri" w:eastAsia="Calibri" w:hAnsi="Calibri"/>
          <w:sz w:val="19"/>
          <w:szCs w:val="19"/>
        </w:rPr>
        <w:t xml:space="preserve">Data collected to deliver a service cannot later be used for profiling, partner marketing or a new product without fresh consent or another basis. This is the most common way organisations drift into non-compliance without any single decision to do so.</w:t>
      </w:r>
    </w:p>
    <w:p>
      <w:pPr>
        <w:keepNext/>
        <w:spacing w:after="40" w:before="140"/>
      </w:pPr>
      <w:r>
        <w:rPr>
          <w:rFonts w:ascii="Calibri" w:cs="Calibri" w:eastAsia="Calibri" w:hAnsi="Calibri"/>
          <w:b/>
          <w:bCs/>
          <w:color w:val="14161B"/>
          <w:sz w:val="20"/>
          <w:szCs w:val="20"/>
        </w:rPr>
        <w:t xml:space="preserve">Make withdrawal genuinely easy</w:t>
      </w:r>
    </w:p>
    <w:p>
      <w:pPr>
        <w:spacing w:after="60" w:line="264"/>
        <w:jc w:val="both"/>
      </w:pPr>
      <w:r>
        <w:rPr>
          <w:rFonts w:ascii="Calibri" w:cs="Calibri" w:eastAsia="Calibri" w:hAnsi="Calibri"/>
          <w:sz w:val="19"/>
          <w:szCs w:val="19"/>
        </w:rPr>
        <w:t xml:space="preserve">An individual may withdraw consent on reasonable notice. Where withdrawal requires a written letter, a phone call in office hours, or navigating several screens, the consent itself begins to look less than voluntary. Tell them the consequences, then stop the processing.</w:t>
      </w:r>
    </w:p>
    <w:p>
      <w:pPr>
        <w:keepNext/>
        <w:spacing w:after="40" w:before="140"/>
      </w:pPr>
      <w:r>
        <w:rPr>
          <w:rFonts w:ascii="Calibri" w:cs="Calibri" w:eastAsia="Calibri" w:hAnsi="Calibri"/>
          <w:b/>
          <w:bCs/>
          <w:color w:val="14161B"/>
          <w:sz w:val="20"/>
          <w:szCs w:val="20"/>
        </w:rPr>
        <w:t xml:space="preserve">Keep the consent record with the version of the notice</w:t>
      </w:r>
    </w:p>
    <w:p>
      <w:pPr>
        <w:spacing w:after="60" w:line="264"/>
        <w:jc w:val="both"/>
      </w:pPr>
      <w:r>
        <w:rPr>
          <w:rFonts w:ascii="Calibri" w:cs="Calibri" w:eastAsia="Calibri" w:hAnsi="Calibri"/>
          <w:sz w:val="19"/>
          <w:szCs w:val="19"/>
        </w:rPr>
        <w:t xml:space="preserve">Notices change. Knowing that someone consented is of limited use without knowing what they were told at the time. Annexure C records the version, which is what allows the position to be reconstructed years later.</w:t>
      </w:r>
    </w:p>
    <w:p>
      <w:pPr>
        <w:keepNext/>
        <w:spacing w:after="40" w:before="140"/>
      </w:pPr>
      <w:r>
        <w:rPr>
          <w:rFonts w:ascii="Calibri" w:cs="Calibri" w:eastAsia="Calibri" w:hAnsi="Calibri"/>
          <w:b/>
          <w:bCs/>
          <w:color w:val="14161B"/>
          <w:sz w:val="20"/>
          <w:szCs w:val="20"/>
        </w:rPr>
        <w:t xml:space="preserve">Collect less</w:t>
      </w:r>
    </w:p>
    <w:p>
      <w:pPr>
        <w:spacing w:after="60" w:line="264"/>
        <w:jc w:val="both"/>
      </w:pPr>
      <w:r>
        <w:rPr>
          <w:rFonts w:ascii="Calibri" w:cs="Calibri" w:eastAsia="Calibri" w:hAnsi="Calibri"/>
          <w:sz w:val="19"/>
          <w:szCs w:val="19"/>
        </w:rPr>
        <w:t xml:space="preserve">The purpose limitation and data minimisation principles both point the same way. Identification numbers in particular are collected far more often than needed, and they carry disproportionate breach consequences because their disclosure is prescribed as likely to cause significant harm. Ask whether the field is genuinely required.</w:t>
      </w:r>
    </w:p>
    <w:p>
      <w:pPr>
        <w:keepNext/>
        <w:spacing w:after="40" w:before="140"/>
      </w:pPr>
      <w:r>
        <w:rPr>
          <w:rFonts w:ascii="Calibri" w:cs="Calibri" w:eastAsia="Calibri" w:hAnsi="Calibri"/>
          <w:b/>
          <w:bCs/>
          <w:color w:val="14161B"/>
          <w:sz w:val="20"/>
          <w:szCs w:val="20"/>
        </w:rPr>
        <w:t xml:space="preserve">Do Not Call is separate from consent</w:t>
      </w:r>
    </w:p>
    <w:p>
      <w:pPr>
        <w:spacing w:after="60" w:line="264"/>
        <w:jc w:val="both"/>
      </w:pPr>
      <w:r>
        <w:rPr>
          <w:rFonts w:ascii="Calibri" w:cs="Calibri" w:eastAsia="Calibri" w:hAnsi="Calibri"/>
          <w:sz w:val="19"/>
          <w:szCs w:val="19"/>
        </w:rPr>
        <w:t xml:space="preserve">Marketing to Singapore telephone numbers engages the Do Not Call obligations in addition to the data protection ones. A person may have consented to marketing generally and still be on the register, and clear and unambiguous consent in evidential form is required to override it. Row 3 of Annexure A flags this because the two are frequently conflated.</w:t>
      </w:r>
    </w:p>
    <w:p>
      <w:pPr>
        <w:keepNext/>
        <w:spacing w:after="40" w:before="140"/>
      </w:pPr>
      <w:r>
        <w:rPr>
          <w:rFonts w:ascii="Calibri" w:cs="Calibri" w:eastAsia="Calibri" w:hAnsi="Calibri"/>
          <w:b/>
          <w:bCs/>
          <w:color w:val="14161B"/>
          <w:sz w:val="20"/>
          <w:szCs w:val="20"/>
        </w:rPr>
        <w:t xml:space="preserve">Employee data is in scope</w:t>
      </w:r>
    </w:p>
    <w:p>
      <w:pPr>
        <w:spacing w:after="60" w:line="264"/>
        <w:jc w:val="both"/>
      </w:pPr>
      <w:r>
        <w:rPr>
          <w:rFonts w:ascii="Calibri" w:cs="Calibri" w:eastAsia="Calibri" w:hAnsi="Calibri"/>
          <w:sz w:val="19"/>
          <w:szCs w:val="19"/>
        </w:rPr>
        <w:t xml:space="preserve">The notification obligation applies to employees. An employee privacy notice at induction is not optional in substance, and it is the document most often missing from an otherwise complete policy set.</w:t>
      </w:r>
    </w:p>
    <w:p>
      <w:pPr>
        <w:keepNext/>
        <w:spacing w:after="40" w:before="140"/>
      </w:pPr>
      <w:r>
        <w:rPr>
          <w:rFonts w:ascii="Calibri" w:cs="Calibri" w:eastAsia="Calibri" w:hAnsi="Calibri"/>
          <w:b/>
          <w:bCs/>
          <w:color w:val="14161B"/>
          <w:sz w:val="20"/>
          <w:szCs w:val="20"/>
        </w:rPr>
        <w:t xml:space="preserve">Disclose monitoring or do not monitor</w:t>
      </w:r>
    </w:p>
    <w:p>
      <w:pPr>
        <w:spacing w:after="60" w:line="264"/>
        <w:jc w:val="both"/>
      </w:pPr>
      <w:r>
        <w:rPr>
          <w:rFonts w:ascii="Calibri" w:cs="Calibri" w:eastAsia="Calibri" w:hAnsi="Calibri"/>
          <w:sz w:val="19"/>
          <w:szCs w:val="19"/>
        </w:rPr>
        <w:t xml:space="preserve">Where employee email, systems, building access, vehicles or CCTV are monitored, say so in the privacy notice. Undisclosed monitoring is a data protection problem and, separately, a trust problem that is very difficult to recover from once discovered.</w:t>
      </w:r>
    </w:p>
    <w:p>
      <w:pPr>
        <w:keepNext/>
        <w:spacing w:after="40" w:before="140"/>
      </w:pPr>
      <w:r>
        <w:rPr>
          <w:rFonts w:ascii="Calibri" w:cs="Calibri" w:eastAsia="Calibri" w:hAnsi="Calibri"/>
          <w:b/>
          <w:bCs/>
          <w:color w:val="14161B"/>
          <w:sz w:val="20"/>
          <w:szCs w:val="20"/>
        </w:rPr>
        <w:t xml:space="preserve">Consent from or about children needs care</w:t>
      </w:r>
    </w:p>
    <w:p>
      <w:pPr>
        <w:spacing w:after="60" w:line="264"/>
        <w:jc w:val="both"/>
      </w:pPr>
      <w:r>
        <w:rPr>
          <w:rFonts w:ascii="Calibri" w:cs="Calibri" w:eastAsia="Calibri" w:hAnsi="Calibri"/>
          <w:sz w:val="19"/>
          <w:szCs w:val="19"/>
        </w:rPr>
        <w:t xml:space="preserve">Where the individual is a minor, consider whether they can meaningfully understand and consent, and whether a parent or guardian should. Collecting data about children for marketing purposes warrants particular caution.</w:t>
      </w:r>
    </w:p>
    <w:p>
      <w:pPr>
        <w:keepNext/>
        <w:spacing w:after="40" w:before="140"/>
      </w:pPr>
      <w:r>
        <w:rPr>
          <w:rFonts w:ascii="Calibri" w:cs="Calibri" w:eastAsia="Calibri" w:hAnsi="Calibri"/>
          <w:b/>
          <w:bCs/>
          <w:color w:val="14161B"/>
          <w:sz w:val="20"/>
          <w:szCs w:val="20"/>
        </w:rPr>
        <w:t xml:space="preserve">Deemed consent has limits</w:t>
      </w:r>
    </w:p>
    <w:p>
      <w:pPr>
        <w:spacing w:after="60" w:line="264"/>
        <w:jc w:val="both"/>
      </w:pPr>
      <w:r>
        <w:rPr>
          <w:rFonts w:ascii="Calibri" w:cs="Calibri" w:eastAsia="Calibri" w:hAnsi="Calibri"/>
          <w:sz w:val="19"/>
          <w:szCs w:val="19"/>
        </w:rPr>
        <w:t xml:space="preserve">Deemed consent by conduct covers purposes that are genuinely obvious from the circumstances. It does not stretch to cover marketing, profiling or sharing with third parties merely because the individual handed over their details. Do not use it as a substitute for asking.</w:t>
      </w:r>
    </w:p>
    <w:p>
      <w:pPr>
        <w:keepNext/>
        <w:spacing w:after="40" w:before="140"/>
      </w:pPr>
      <w:r>
        <w:rPr>
          <w:rFonts w:ascii="Calibri" w:cs="Calibri" w:eastAsia="Calibri" w:hAnsi="Calibri"/>
          <w:b/>
          <w:bCs/>
          <w:color w:val="14161B"/>
          <w:sz w:val="20"/>
          <w:szCs w:val="20"/>
        </w:rPr>
        <w:t xml:space="preserve">Review annually and on change</w:t>
      </w:r>
    </w:p>
    <w:p>
      <w:pPr>
        <w:spacing w:after="60" w:line="264"/>
        <w:jc w:val="both"/>
      </w:pPr>
      <w:r>
        <w:rPr>
          <w:rFonts w:ascii="Calibri" w:cs="Calibri" w:eastAsia="Calibri" w:hAnsi="Calibri"/>
          <w:sz w:val="19"/>
          <w:szCs w:val="19"/>
        </w:rPr>
        <w:t xml:space="preserve">Notices and consent forms drift out of alignment with what the organisation actually does, usually because a new system or vendor was introduced without anyone revisiting the notice. Tie the review to the data inventory so both move together.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Personal Data Protection Act has been amended and further provisions may come into force — confirm current requirements and Commission guidance, and take advice before relying on legitimate interests or business improvement for anything significant.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2026-08-22T06:55:29.977Z</dcterms:created>
  <dcterms:modified xsi:type="dcterms:W3CDTF">2026-08-22T06:55:29.977Z</dcterms:modified>
</cp:coreProperties>
</file>

<file path=docProps/custom.xml><?xml version="1.0" encoding="utf-8"?>
<Properties xmlns="http://schemas.openxmlformats.org/officeDocument/2006/custom-properties" xmlns:vt="http://schemas.openxmlformats.org/officeDocument/2006/docPropsVTypes"/>
</file>