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header+xml" PartName="/word/header1.xml"/>
  <Override ContentType="application/vnd.openxmlformats-officedocument.wordprocessingml.header+xml" PartName="/word/header2.xml"/>
  <Override ContentType="application/vnd.openxmlformats-officedocument.wordprocessingml.footer+xml" PartName="/word/footer1.xml"/>
  <Override ContentType="application/vnd.openxmlformats-officedocument.wordprocessingml.footer+xml" PartName="/word/footer2.xml"/>
  <Override ContentType="application/vnd.openxmlformats-officedocument.wordprocessingml.footer+xml" PartName="/word/footer3.xml"/>
  <Override ContentType="application/vnd.openxmlformats-officedocument.wordprocessingml.footer+xml" PartName="/word/footer4.xml"/>
  <Override ContentType="application/vnd.openxmlformats-officedocument.wordprocessingml.footer+xml" PartName="/word/footer5.xml"/>
  <Override ContentType="application/vnd.openxmlformats-officedocument.wordprocessingml.footer+xml" PartName="/word/footer6.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60" w:before="240"/>
        <w:jc w:val="center"/>
      </w:pPr>
      <w:r>
        <w:rPr>
          <w:rFonts w:ascii="Calibri" w:cs="Calibri" w:eastAsia="Calibri" w:hAnsi="Calibri"/>
          <w:b/>
          <w:bCs/>
          <w:color w:val="14161B"/>
          <w:spacing w:val="12"/>
          <w:sz w:val="28"/>
          <w:szCs w:val="28"/>
        </w:rPr>
        <w:t xml:space="preserve">CHOOSING A BUSINESS STRUCTURE</w:t>
      </w:r>
    </w:p>
    <w:p>
      <w:pPr>
        <w:spacing w:after="260"/>
        <w:jc w:val="center"/>
      </w:pPr>
      <w:r>
        <w:rPr>
          <w:rFonts w:ascii="Calibri" w:cs="Calibri" w:eastAsia="Calibri" w:hAnsi="Calibri"/>
          <w:i/>
          <w:iCs/>
          <w:color w:val="6E7480"/>
          <w:sz w:val="19"/>
          <w:szCs w:val="19"/>
        </w:rPr>
        <w:t xml:space="preserve">Company, LLP, partnership, branch, VCC and others</w:t>
      </w:r>
    </w:p>
    <w:p>
      <w:pPr>
        <w:spacing w:after="180" w:before="0" w:line="276"/>
        <w:jc w:val="both"/>
      </w:pPr>
      <w:r>
        <w:rPr>
          <w:rFonts w:ascii="Calibri" w:cs="Calibri" w:eastAsia="Calibri" w:hAnsi="Calibri"/>
          <w:i/>
          <w:iCs/>
          <w:color w:val="6E7480"/>
          <w:sz w:val="21"/>
          <w:szCs w:val="21"/>
        </w:rPr>
        <w:t xml:space="preserve">Most of this decision comes down to three questions: do you need limited liability, do you want the entity or the owners taxed, and will you raise external equity. A private limited company answers all three well for most businesses, which is why it dominates — but the alternatives exist for reasons, and choosing wrongly is expensive to unwind.</w:t>
      </w:r>
    </w:p>
    <w:tbl>
      <w:tblPr>
        <w:tblW w:type="dxa" w:w="9638"/>
        <w:tblBorders>
          <w:top w:val="single" w:color="B9BEC8" w:sz="4"/>
          <w:left w:val="single" w:color="B9BEC8" w:sz="4"/>
          <w:bottom w:val="single" w:color="B9BEC8" w:sz="4"/>
          <w:right w:val="single" w:color="B9BEC8" w:sz="4"/>
          <w:insideH w:val="single" w:color="D3D7DF" w:sz="2"/>
          <w:insideV w:val="single" w:color="D3D7DF" w:sz="2"/>
        </w:tblBorders>
      </w:tblPr>
      <w:tblGrid>
        <w:gridCol w:w="3662"/>
        <w:gridCol w:w="5976"/>
      </w:tblGrid>
      <w:tr>
        <w:trPr>
          <w:tblHeader/>
        </w:trPr>
        <w:tc>
          <w:tcPr>
            <w:tcW w:type="dxa" w:w="3662"/>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Item</w:t>
            </w:r>
          </w:p>
        </w:tc>
        <w:tc>
          <w:tcPr>
            <w:tcW w:type="dxa" w:w="5976"/>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Detail</w:t>
            </w:r>
          </w:p>
        </w:tc>
      </w:tr>
      <w:tr>
        <w:tc>
          <w:tcPr>
            <w:tcW w:type="dxa" w:w="3662"/>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Proposed business</w:t>
            </w:r>
          </w:p>
        </w:tc>
        <w:tc>
          <w:tcPr>
            <w:tcW w:type="dxa" w:w="5976"/>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[DESCRIPTION]</w:t>
            </w:r>
          </w:p>
        </w:tc>
      </w:tr>
      <w:tr>
        <w:tc>
          <w:tcPr>
            <w:tcW w:type="dxa" w:w="3662"/>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Owners</w:t>
            </w:r>
          </w:p>
        </w:tc>
        <w:tc>
          <w:tcPr>
            <w:tcW w:type="dxa" w:w="5976"/>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[NAMES AND RESIDENCY]</w:t>
            </w:r>
          </w:p>
        </w:tc>
      </w:tr>
      <w:tr>
        <w:tc>
          <w:tcPr>
            <w:tcW w:type="dxa" w:w="3662"/>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Any owner outside Singapore?</w:t>
            </w:r>
          </w:p>
        </w:tc>
        <w:tc>
          <w:tcPr>
            <w:tcW w:type="dxa" w:w="5976"/>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[Yes / No]</w:t>
            </w:r>
          </w:p>
        </w:tc>
      </w:tr>
      <w:tr>
        <w:tc>
          <w:tcPr>
            <w:tcW w:type="dxa" w:w="3662"/>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External equity investment expected?</w:t>
            </w:r>
          </w:p>
        </w:tc>
        <w:tc>
          <w:tcPr>
            <w:tcW w:type="dxa" w:w="5976"/>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[Yes / No / Possibly]</w:t>
            </w:r>
          </w:p>
        </w:tc>
      </w:tr>
      <w:tr>
        <w:tc>
          <w:tcPr>
            <w:tcW w:type="dxa" w:w="3662"/>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Regulated activity?</w:t>
            </w:r>
          </w:p>
        </w:tc>
        <w:tc>
          <w:tcPr>
            <w:tcW w:type="dxa" w:w="5976"/>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[Yes — licence required / No]</w:t>
            </w:r>
          </w:p>
        </w:tc>
      </w:tr>
      <w:tr>
        <w:tc>
          <w:tcPr>
            <w:tcW w:type="dxa" w:w="3662"/>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Expected first-year revenue</w:t>
            </w:r>
          </w:p>
        </w:tc>
        <w:tc>
          <w:tcPr>
            <w:tcW w:type="dxa" w:w="5976"/>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S$ </w:t>
            </w:r>
            <w:r>
              <w:rPr>
                <w:rFonts w:ascii="Calibri" w:cs="Calibri" w:eastAsia="Calibri" w:hAnsi="Calibri"/>
                <w:b/>
                <w:bCs/>
                <w:sz w:val="19"/>
                <w:szCs w:val="19"/>
              </w:rPr>
              <w:t xml:space="preserve">[AMOUNT]</w:t>
            </w:r>
          </w:p>
        </w:tc>
      </w:tr>
      <w:tr>
        <w:tc>
          <w:tcPr>
            <w:tcW w:type="dxa" w:w="3662"/>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Employees expected in year one</w:t>
            </w:r>
          </w:p>
        </w:tc>
        <w:tc>
          <w:tcPr>
            <w:tcW w:type="dxa" w:w="5976"/>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[NUMBER]</w:t>
            </w:r>
          </w:p>
        </w:tc>
      </w:tr>
      <w:tr>
        <w:tc>
          <w:tcPr>
            <w:tcW w:type="dxa" w:w="3662"/>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Structure selected</w:t>
            </w:r>
          </w:p>
        </w:tc>
        <w:tc>
          <w:tcPr>
            <w:tcW w:type="dxa" w:w="5976"/>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[STRUCTURE]</w:t>
            </w:r>
          </w:p>
        </w:tc>
      </w:tr>
      <w:tr>
        <w:tc>
          <w:tcPr>
            <w:tcW w:type="dxa" w:w="3662"/>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Reason recorded</w:t>
            </w:r>
          </w:p>
        </w:tc>
        <w:tc>
          <w:tcPr>
            <w:tcW w:type="dxa" w:w="5976"/>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[REASON]</w:t>
            </w:r>
          </w:p>
        </w:tc>
      </w:tr>
    </w:tbl>
    <w:p>
      <w:pPr>
        <w:spacing w:after="180"/>
      </w:pPr>
    </w:p>
    <w:p>
      <w:pPr>
        <w:keepNext/>
        <w:spacing w:after="120" w:before="280"/>
        <w:outlineLvl w:val="0"/>
      </w:pPr>
      <w:r>
        <w:rPr>
          <w:rFonts w:ascii="Calibri" w:cs="Calibri" w:eastAsia="Calibri" w:hAnsi="Calibri"/>
          <w:b/>
          <w:bCs/>
          <w:color w:val="14161B"/>
          <w:sz w:val="22"/>
          <w:szCs w:val="22"/>
        </w:rPr>
        <w:t xml:space="preserve">1. THE THREE DECIDING QUESTIONS</w:t>
      </w:r>
    </w:p>
    <w:tbl>
      <w:tblPr>
        <w:tblW w:type="dxa" w:w="9638"/>
        <w:tblBorders>
          <w:top w:val="single" w:color="B9BEC8" w:sz="4"/>
          <w:left w:val="single" w:color="B9BEC8" w:sz="4"/>
          <w:bottom w:val="single" w:color="B9BEC8" w:sz="4"/>
          <w:right w:val="single" w:color="B9BEC8" w:sz="4"/>
          <w:insideH w:val="single" w:color="D3D7DF" w:sz="2"/>
          <w:insideV w:val="single" w:color="D3D7DF" w:sz="2"/>
        </w:tblBorders>
      </w:tblPr>
      <w:tblGrid>
        <w:gridCol w:w="2505"/>
        <w:gridCol w:w="4047"/>
        <w:gridCol w:w="3086"/>
      </w:tblGrid>
      <w:tr>
        <w:trPr>
          <w:tblHeader/>
        </w:trPr>
        <w:tc>
          <w:tcPr>
            <w:tcW w:type="dxa" w:w="2505"/>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Question</w:t>
            </w:r>
          </w:p>
        </w:tc>
        <w:tc>
          <w:tcPr>
            <w:tcW w:type="dxa" w:w="4047"/>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Why it decides</w:t>
            </w:r>
          </w:p>
        </w:tc>
        <w:tc>
          <w:tcPr>
            <w:tcW w:type="dxa" w:w="3086"/>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Effect</w:t>
            </w:r>
          </w:p>
        </w:tc>
      </w:tr>
      <w:tr>
        <w:tc>
          <w:tcPr>
            <w:tcW w:type="dxa" w:w="2505"/>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Do you need limited liability?</w:t>
            </w:r>
          </w:p>
        </w:tc>
        <w:tc>
          <w:tcPr>
            <w:tcW w:type="dxa" w:w="4047"/>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A sole proprietorship and a general partnership expose personal assets without limit</w:t>
            </w:r>
          </w:p>
        </w:tc>
        <w:tc>
          <w:tcPr>
            <w:tcW w:type="dxa" w:w="3086"/>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If yes, you need a company, an LLP or an LP</w:t>
            </w:r>
          </w:p>
        </w:tc>
      </w:tr>
      <w:tr>
        <w:tc>
          <w:tcPr>
            <w:tcW w:type="dxa" w:w="2505"/>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Entity or owner taxed?</w:t>
            </w:r>
          </w:p>
        </w:tc>
        <w:tc>
          <w:tcPr>
            <w:tcW w:type="dxa" w:w="4047"/>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A company pays corporate tax; an LLP and partnership are transparent and partners are taxed individually</w:t>
            </w:r>
          </w:p>
        </w:tc>
        <w:tc>
          <w:tcPr>
            <w:tcW w:type="dxa" w:w="3086"/>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Affects effective rate, loss relief and how profits are extracted</w:t>
            </w:r>
          </w:p>
        </w:tc>
      </w:tr>
      <w:tr>
        <w:tc>
          <w:tcPr>
            <w:tcW w:type="dxa" w:w="2505"/>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Will you raise external equity?</w:t>
            </w:r>
          </w:p>
        </w:tc>
        <w:tc>
          <w:tcPr>
            <w:tcW w:type="dxa" w:w="4047"/>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Investors expect shares, classes, option pools and a familiar exit</w:t>
            </w:r>
          </w:p>
        </w:tc>
        <w:tc>
          <w:tcPr>
            <w:tcW w:type="dxa" w:w="3086"/>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If yes or possibly, incorporate a company — converting later is expensive</w:t>
            </w:r>
          </w:p>
        </w:tc>
      </w:tr>
    </w:tbl>
    <w:p>
      <w:pPr>
        <w:spacing w:after="140"/>
      </w:pPr>
    </w:p>
    <w:p>
      <w:pPr>
        <w:spacing w:after="120" w:before="60" w:line="276"/>
        <w:ind w:left="720" w:hanging="720"/>
        <w:jc w:val="both"/>
      </w:pPr>
      <w:r>
        <w:rPr>
          <w:rFonts w:ascii="Calibri" w:cs="Calibri" w:eastAsia="Calibri" w:hAnsi="Calibri"/>
          <w:sz w:val="21"/>
          <w:szCs w:val="21"/>
        </w:rPr>
        <w:t xml:space="preserve">1.1	</w:t>
      </w:r>
      <w:r>
        <w:rPr>
          <w:rFonts w:ascii="Calibri" w:cs="Calibri" w:eastAsia="Calibri" w:hAnsi="Calibri"/>
          <w:i/>
          <w:iCs/>
          <w:sz w:val="21"/>
          <w:szCs w:val="21"/>
        </w:rPr>
        <w:t xml:space="preserve">Where the answer to the third question is "possibly", treat it as a yes. Converting an LLP or sole proprietorship into a company later involves transferring the business, with tax, contractual, licensing and employment consequences, usually at the least convenient moment.</w:t>
      </w:r>
    </w:p>
    <w:p>
      <w:pPr>
        <w:sectPr>
          <w:headerReference w:type="default" r:id="rId7"/>
          <w:headerReference w:type="first" r:id="rId8"/>
          <w:footerReference w:type="default" r:id="rId9"/>
          <w:footerReference w:type="first" r:id="rId10"/>
          <w:pgSz w:w="11906" w:h="16838" w:orient="portrait"/>
          <w:pgMar w:top="1080" w:right="1134" w:bottom="1080" w:left="1134" w:header="708" w:footer="708" w:gutter="0"/>
          <w:pgNumType/>
          <w:titlePg/>
          <w:docGrid w:linePitch="360"/>
        </w:sectPr>
      </w:pPr>
    </w:p>
    <w:p>
      <w:pPr>
        <w:spacing w:after="240" w:before="240"/>
        <w:jc w:val="center"/>
      </w:pPr>
      <w:r>
        <w:rPr>
          <w:rFonts w:ascii="Calibri" w:cs="Calibri" w:eastAsia="Calibri" w:hAnsi="Calibri"/>
          <w:b/>
          <w:bCs/>
          <w:color w:val="14161B"/>
          <w:spacing w:val="12"/>
          <w:sz w:val="28"/>
          <w:szCs w:val="28"/>
        </w:rPr>
        <w:t xml:space="preserve">2. COMPARISON</w:t>
      </w:r>
    </w:p>
    <w:tbl>
      <w:tblPr>
        <w:tblW w:type="dxa" w:w="15038"/>
        <w:tblBorders>
          <w:top w:val="single" w:color="B9BEC8" w:sz="4"/>
          <w:left w:val="single" w:color="B9BEC8" w:sz="4"/>
          <w:bottom w:val="single" w:color="B9BEC8" w:sz="4"/>
          <w:right w:val="single" w:color="B9BEC8" w:sz="4"/>
          <w:insideH w:val="single" w:color="D3D7DF" w:sz="2"/>
          <w:insideV w:val="single" w:color="D3D7DF" w:sz="2"/>
        </w:tblBorders>
      </w:tblPr>
      <w:tblGrid>
        <w:gridCol w:w="1804"/>
        <w:gridCol w:w="2255"/>
        <w:gridCol w:w="2255"/>
        <w:gridCol w:w="2105"/>
        <w:gridCol w:w="2105"/>
        <w:gridCol w:w="2105"/>
        <w:gridCol w:w="2409"/>
      </w:tblGrid>
      <w:tr>
        <w:trPr>
          <w:tblHeader/>
        </w:trPr>
        <w:tc>
          <w:tcPr>
            <w:tcW w:type="dxa" w:w="1804"/>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4"/>
                <w:szCs w:val="14"/>
              </w:rPr>
              <w:t xml:space="preserve">Feature</w:t>
            </w:r>
          </w:p>
        </w:tc>
        <w:tc>
          <w:tcPr>
            <w:tcW w:type="dxa" w:w="2255"/>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4"/>
                <w:szCs w:val="14"/>
              </w:rPr>
              <w:t xml:space="preserve">Private company</w:t>
            </w:r>
          </w:p>
        </w:tc>
        <w:tc>
          <w:tcPr>
            <w:tcW w:type="dxa" w:w="2255"/>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4"/>
                <w:szCs w:val="14"/>
              </w:rPr>
              <w:t xml:space="preserve">LLP</w:t>
            </w:r>
          </w:p>
        </w:tc>
        <w:tc>
          <w:tcPr>
            <w:tcW w:type="dxa" w:w="2105"/>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4"/>
                <w:szCs w:val="14"/>
              </w:rPr>
              <w:t xml:space="preserve">Limited partnership</w:t>
            </w:r>
          </w:p>
        </w:tc>
        <w:tc>
          <w:tcPr>
            <w:tcW w:type="dxa" w:w="2105"/>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4"/>
                <w:szCs w:val="14"/>
              </w:rPr>
              <w:t xml:space="preserve">General partnership</w:t>
            </w:r>
          </w:p>
        </w:tc>
        <w:tc>
          <w:tcPr>
            <w:tcW w:type="dxa" w:w="2105"/>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4"/>
                <w:szCs w:val="14"/>
              </w:rPr>
              <w:t xml:space="preserve">Sole proprietorship</w:t>
            </w:r>
          </w:p>
        </w:tc>
        <w:tc>
          <w:tcPr>
            <w:tcW w:type="dxa" w:w="2409"/>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4"/>
                <w:szCs w:val="14"/>
              </w:rPr>
              <w:t xml:space="preserve">Branch of a foreign company</w:t>
            </w:r>
          </w:p>
        </w:tc>
      </w:tr>
      <w:tr>
        <w:tc>
          <w:tcPr>
            <w:tcW w:type="dxa" w:w="1804"/>
            <w:tcMar>
              <w:top w:type="dxa" w:w="70"/>
              <w:left w:type="dxa" w:w="100"/>
              <w:bottom w:type="dxa" w:w="70"/>
              <w:right w:type="dxa" w:w="100"/>
            </w:tcMar>
            <w:vAlign w:val="center"/>
          </w:tcPr>
          <w:p>
            <w:pPr>
              <w:spacing w:after="0" w:line="240"/>
              <w:jc w:val="left"/>
            </w:pPr>
            <w:r>
              <w:rPr>
                <w:rFonts w:ascii="Calibri" w:cs="Calibri" w:eastAsia="Calibri" w:hAnsi="Calibri"/>
                <w:sz w:val="14"/>
                <w:szCs w:val="14"/>
              </w:rPr>
              <w:t xml:space="preserve">Separate legal entity</w:t>
            </w:r>
          </w:p>
        </w:tc>
        <w:tc>
          <w:tcPr>
            <w:tcW w:type="dxa" w:w="2255"/>
            <w:tcMar>
              <w:top w:type="dxa" w:w="70"/>
              <w:left w:type="dxa" w:w="100"/>
              <w:bottom w:type="dxa" w:w="70"/>
              <w:right w:type="dxa" w:w="100"/>
            </w:tcMar>
            <w:vAlign w:val="center"/>
          </w:tcPr>
          <w:p>
            <w:pPr>
              <w:spacing w:after="0" w:line="240"/>
              <w:jc w:val="left"/>
            </w:pPr>
            <w:r>
              <w:rPr>
                <w:rFonts w:ascii="Calibri" w:cs="Calibri" w:eastAsia="Calibri" w:hAnsi="Calibri"/>
                <w:b/>
                <w:bCs/>
                <w:sz w:val="14"/>
                <w:szCs w:val="14"/>
              </w:rPr>
              <w:t xml:space="preserve">Yes</w:t>
            </w:r>
          </w:p>
        </w:tc>
        <w:tc>
          <w:tcPr>
            <w:tcW w:type="dxa" w:w="2255"/>
            <w:tcMar>
              <w:top w:type="dxa" w:w="70"/>
              <w:left w:type="dxa" w:w="100"/>
              <w:bottom w:type="dxa" w:w="70"/>
              <w:right w:type="dxa" w:w="100"/>
            </w:tcMar>
            <w:vAlign w:val="center"/>
          </w:tcPr>
          <w:p>
            <w:pPr>
              <w:spacing w:after="0" w:line="240"/>
              <w:jc w:val="left"/>
            </w:pPr>
            <w:r>
              <w:rPr>
                <w:rFonts w:ascii="Calibri" w:cs="Calibri" w:eastAsia="Calibri" w:hAnsi="Calibri"/>
                <w:b/>
                <w:bCs/>
                <w:sz w:val="14"/>
                <w:szCs w:val="14"/>
              </w:rPr>
              <w:t xml:space="preserve">Yes</w:t>
            </w:r>
          </w:p>
        </w:tc>
        <w:tc>
          <w:tcPr>
            <w:tcW w:type="dxa" w:w="2105"/>
            <w:tcMar>
              <w:top w:type="dxa" w:w="70"/>
              <w:left w:type="dxa" w:w="100"/>
              <w:bottom w:type="dxa" w:w="70"/>
              <w:right w:type="dxa" w:w="100"/>
            </w:tcMar>
            <w:vAlign w:val="center"/>
          </w:tcPr>
          <w:p>
            <w:pPr>
              <w:spacing w:after="0" w:line="240"/>
              <w:jc w:val="left"/>
            </w:pPr>
            <w:r>
              <w:rPr>
                <w:rFonts w:ascii="Calibri" w:cs="Calibri" w:eastAsia="Calibri" w:hAnsi="Calibri"/>
                <w:sz w:val="14"/>
                <w:szCs w:val="14"/>
              </w:rPr>
              <w:t xml:space="preserve">No</w:t>
            </w:r>
          </w:p>
        </w:tc>
        <w:tc>
          <w:tcPr>
            <w:tcW w:type="dxa" w:w="2105"/>
            <w:tcMar>
              <w:top w:type="dxa" w:w="70"/>
              <w:left w:type="dxa" w:w="100"/>
              <w:bottom w:type="dxa" w:w="70"/>
              <w:right w:type="dxa" w:w="100"/>
            </w:tcMar>
            <w:vAlign w:val="center"/>
          </w:tcPr>
          <w:p>
            <w:pPr>
              <w:spacing w:after="0" w:line="240"/>
              <w:jc w:val="left"/>
            </w:pPr>
            <w:r>
              <w:rPr>
                <w:rFonts w:ascii="Calibri" w:cs="Calibri" w:eastAsia="Calibri" w:hAnsi="Calibri"/>
                <w:sz w:val="14"/>
                <w:szCs w:val="14"/>
              </w:rPr>
              <w:t xml:space="preserve">No</w:t>
            </w:r>
          </w:p>
        </w:tc>
        <w:tc>
          <w:tcPr>
            <w:tcW w:type="dxa" w:w="2105"/>
            <w:tcMar>
              <w:top w:type="dxa" w:w="70"/>
              <w:left w:type="dxa" w:w="100"/>
              <w:bottom w:type="dxa" w:w="70"/>
              <w:right w:type="dxa" w:w="100"/>
            </w:tcMar>
            <w:vAlign w:val="center"/>
          </w:tcPr>
          <w:p>
            <w:pPr>
              <w:spacing w:after="0" w:line="240"/>
              <w:jc w:val="left"/>
            </w:pPr>
            <w:r>
              <w:rPr>
                <w:rFonts w:ascii="Calibri" w:cs="Calibri" w:eastAsia="Calibri" w:hAnsi="Calibri"/>
                <w:sz w:val="14"/>
                <w:szCs w:val="14"/>
              </w:rPr>
              <w:t xml:space="preserve">No</w:t>
            </w:r>
          </w:p>
        </w:tc>
        <w:tc>
          <w:tcPr>
            <w:tcW w:type="dxa" w:w="2409"/>
            <w:tcMar>
              <w:top w:type="dxa" w:w="70"/>
              <w:left w:type="dxa" w:w="100"/>
              <w:bottom w:type="dxa" w:w="70"/>
              <w:right w:type="dxa" w:w="100"/>
            </w:tcMar>
            <w:vAlign w:val="center"/>
          </w:tcPr>
          <w:p>
            <w:pPr>
              <w:spacing w:after="0" w:line="240"/>
              <w:jc w:val="left"/>
            </w:pPr>
            <w:r>
              <w:rPr>
                <w:rFonts w:ascii="Calibri" w:cs="Calibri" w:eastAsia="Calibri" w:hAnsi="Calibri"/>
                <w:sz w:val="14"/>
                <w:szCs w:val="14"/>
              </w:rPr>
              <w:t xml:space="preserve">No — extension of the foreign company</w:t>
            </w:r>
          </w:p>
        </w:tc>
      </w:tr>
      <w:tr>
        <w:tc>
          <w:tcPr>
            <w:tcW w:type="dxa" w:w="1804"/>
            <w:tcMar>
              <w:top w:type="dxa" w:w="70"/>
              <w:left w:type="dxa" w:w="100"/>
              <w:bottom w:type="dxa" w:w="70"/>
              <w:right w:type="dxa" w:w="100"/>
            </w:tcMar>
            <w:vAlign w:val="center"/>
          </w:tcPr>
          <w:p>
            <w:pPr>
              <w:spacing w:after="0" w:line="240"/>
              <w:jc w:val="left"/>
            </w:pPr>
            <w:r>
              <w:rPr>
                <w:rFonts w:ascii="Calibri" w:cs="Calibri" w:eastAsia="Calibri" w:hAnsi="Calibri"/>
                <w:sz w:val="14"/>
                <w:szCs w:val="14"/>
              </w:rPr>
              <w:t xml:space="preserve">Limited liability</w:t>
            </w:r>
          </w:p>
        </w:tc>
        <w:tc>
          <w:tcPr>
            <w:tcW w:type="dxa" w:w="2255"/>
            <w:tcMar>
              <w:top w:type="dxa" w:w="70"/>
              <w:left w:type="dxa" w:w="100"/>
              <w:bottom w:type="dxa" w:w="70"/>
              <w:right w:type="dxa" w:w="100"/>
            </w:tcMar>
            <w:vAlign w:val="center"/>
          </w:tcPr>
          <w:p>
            <w:pPr>
              <w:spacing w:after="0" w:line="240"/>
              <w:jc w:val="left"/>
            </w:pPr>
            <w:r>
              <w:rPr>
                <w:rFonts w:ascii="Calibri" w:cs="Calibri" w:eastAsia="Calibri" w:hAnsi="Calibri"/>
                <w:b/>
                <w:bCs/>
                <w:sz w:val="14"/>
                <w:szCs w:val="14"/>
              </w:rPr>
              <w:t xml:space="preserve">Yes</w:t>
            </w:r>
          </w:p>
        </w:tc>
        <w:tc>
          <w:tcPr>
            <w:tcW w:type="dxa" w:w="2255"/>
            <w:tcMar>
              <w:top w:type="dxa" w:w="70"/>
              <w:left w:type="dxa" w:w="100"/>
              <w:bottom w:type="dxa" w:w="70"/>
              <w:right w:type="dxa" w:w="100"/>
            </w:tcMar>
            <w:vAlign w:val="center"/>
          </w:tcPr>
          <w:p>
            <w:pPr>
              <w:spacing w:after="0" w:line="240"/>
              <w:jc w:val="left"/>
            </w:pPr>
            <w:r>
              <w:rPr>
                <w:rFonts w:ascii="Calibri" w:cs="Calibri" w:eastAsia="Calibri" w:hAnsi="Calibri"/>
                <w:b/>
                <w:bCs/>
                <w:sz w:val="14"/>
                <w:szCs w:val="14"/>
              </w:rPr>
              <w:t xml:space="preserve">Yes</w:t>
            </w:r>
            <w:r>
              <w:rPr>
                <w:rFonts w:ascii="Calibri" w:cs="Calibri" w:eastAsia="Calibri" w:hAnsi="Calibri"/>
                <w:sz w:val="14"/>
                <w:szCs w:val="14"/>
              </w:rPr>
              <w:t xml:space="preserve">, except own wrongful acts</w:t>
            </w:r>
          </w:p>
        </w:tc>
        <w:tc>
          <w:tcPr>
            <w:tcW w:type="dxa" w:w="2105"/>
            <w:tcMar>
              <w:top w:type="dxa" w:w="70"/>
              <w:left w:type="dxa" w:w="100"/>
              <w:bottom w:type="dxa" w:w="70"/>
              <w:right w:type="dxa" w:w="100"/>
            </w:tcMar>
            <w:vAlign w:val="center"/>
          </w:tcPr>
          <w:p>
            <w:pPr>
              <w:spacing w:after="0" w:line="240"/>
              <w:jc w:val="left"/>
            </w:pPr>
            <w:r>
              <w:rPr>
                <w:rFonts w:ascii="Calibri" w:cs="Calibri" w:eastAsia="Calibri" w:hAnsi="Calibri"/>
                <w:sz w:val="14"/>
                <w:szCs w:val="14"/>
              </w:rPr>
              <w:t xml:space="preserve">Limited partners only</w:t>
            </w:r>
          </w:p>
        </w:tc>
        <w:tc>
          <w:tcPr>
            <w:tcW w:type="dxa" w:w="2105"/>
            <w:tcMar>
              <w:top w:type="dxa" w:w="70"/>
              <w:left w:type="dxa" w:w="100"/>
              <w:bottom w:type="dxa" w:w="70"/>
              <w:right w:type="dxa" w:w="100"/>
            </w:tcMar>
            <w:vAlign w:val="center"/>
          </w:tcPr>
          <w:p>
            <w:pPr>
              <w:spacing w:after="0" w:line="240"/>
              <w:jc w:val="left"/>
            </w:pPr>
            <w:r>
              <w:rPr>
                <w:rFonts w:ascii="Calibri" w:cs="Calibri" w:eastAsia="Calibri" w:hAnsi="Calibri"/>
                <w:sz w:val="14"/>
                <w:szCs w:val="14"/>
              </w:rPr>
              <w:t xml:space="preserve">No</w:t>
            </w:r>
          </w:p>
        </w:tc>
        <w:tc>
          <w:tcPr>
            <w:tcW w:type="dxa" w:w="2105"/>
            <w:tcMar>
              <w:top w:type="dxa" w:w="70"/>
              <w:left w:type="dxa" w:w="100"/>
              <w:bottom w:type="dxa" w:w="70"/>
              <w:right w:type="dxa" w:w="100"/>
            </w:tcMar>
            <w:vAlign w:val="center"/>
          </w:tcPr>
          <w:p>
            <w:pPr>
              <w:spacing w:after="0" w:line="240"/>
              <w:jc w:val="left"/>
            </w:pPr>
            <w:r>
              <w:rPr>
                <w:rFonts w:ascii="Calibri" w:cs="Calibri" w:eastAsia="Calibri" w:hAnsi="Calibri"/>
                <w:sz w:val="14"/>
                <w:szCs w:val="14"/>
              </w:rPr>
              <w:t xml:space="preserve">No</w:t>
            </w:r>
          </w:p>
        </w:tc>
        <w:tc>
          <w:tcPr>
            <w:tcW w:type="dxa" w:w="2409"/>
            <w:tcMar>
              <w:top w:type="dxa" w:w="70"/>
              <w:left w:type="dxa" w:w="100"/>
              <w:bottom w:type="dxa" w:w="70"/>
              <w:right w:type="dxa" w:w="100"/>
            </w:tcMar>
            <w:vAlign w:val="center"/>
          </w:tcPr>
          <w:p>
            <w:pPr>
              <w:spacing w:after="0" w:line="240"/>
              <w:jc w:val="left"/>
            </w:pPr>
            <w:r>
              <w:rPr>
                <w:rFonts w:ascii="Calibri" w:cs="Calibri" w:eastAsia="Calibri" w:hAnsi="Calibri"/>
                <w:sz w:val="14"/>
                <w:szCs w:val="14"/>
              </w:rPr>
              <w:t xml:space="preserve">Foreign company remains liable</w:t>
            </w:r>
          </w:p>
        </w:tc>
      </w:tr>
      <w:tr>
        <w:tc>
          <w:tcPr>
            <w:tcW w:type="dxa" w:w="1804"/>
            <w:tcMar>
              <w:top w:type="dxa" w:w="70"/>
              <w:left w:type="dxa" w:w="100"/>
              <w:bottom w:type="dxa" w:w="70"/>
              <w:right w:type="dxa" w:w="100"/>
            </w:tcMar>
            <w:vAlign w:val="center"/>
          </w:tcPr>
          <w:p>
            <w:pPr>
              <w:spacing w:after="0" w:line="240"/>
              <w:jc w:val="left"/>
            </w:pPr>
            <w:r>
              <w:rPr>
                <w:rFonts w:ascii="Calibri" w:cs="Calibri" w:eastAsia="Calibri" w:hAnsi="Calibri"/>
                <w:sz w:val="14"/>
                <w:szCs w:val="14"/>
              </w:rPr>
              <w:t xml:space="preserve">Perpetual succession</w:t>
            </w:r>
          </w:p>
        </w:tc>
        <w:tc>
          <w:tcPr>
            <w:tcW w:type="dxa" w:w="2255"/>
            <w:tcMar>
              <w:top w:type="dxa" w:w="70"/>
              <w:left w:type="dxa" w:w="100"/>
              <w:bottom w:type="dxa" w:w="70"/>
              <w:right w:type="dxa" w:w="100"/>
            </w:tcMar>
            <w:vAlign w:val="center"/>
          </w:tcPr>
          <w:p>
            <w:pPr>
              <w:spacing w:after="0" w:line="240"/>
              <w:jc w:val="left"/>
            </w:pPr>
            <w:r>
              <w:rPr>
                <w:rFonts w:ascii="Calibri" w:cs="Calibri" w:eastAsia="Calibri" w:hAnsi="Calibri"/>
                <w:b/>
                <w:bCs/>
                <w:sz w:val="14"/>
                <w:szCs w:val="14"/>
              </w:rPr>
              <w:t xml:space="preserve">Yes</w:t>
            </w:r>
          </w:p>
        </w:tc>
        <w:tc>
          <w:tcPr>
            <w:tcW w:type="dxa" w:w="2255"/>
            <w:tcMar>
              <w:top w:type="dxa" w:w="70"/>
              <w:left w:type="dxa" w:w="100"/>
              <w:bottom w:type="dxa" w:w="70"/>
              <w:right w:type="dxa" w:w="100"/>
            </w:tcMar>
            <w:vAlign w:val="center"/>
          </w:tcPr>
          <w:p>
            <w:pPr>
              <w:spacing w:after="0" w:line="240"/>
              <w:jc w:val="left"/>
            </w:pPr>
            <w:r>
              <w:rPr>
                <w:rFonts w:ascii="Calibri" w:cs="Calibri" w:eastAsia="Calibri" w:hAnsi="Calibri"/>
                <w:b/>
                <w:bCs/>
                <w:sz w:val="14"/>
                <w:szCs w:val="14"/>
              </w:rPr>
              <w:t xml:space="preserve">Yes</w:t>
            </w:r>
          </w:p>
        </w:tc>
        <w:tc>
          <w:tcPr>
            <w:tcW w:type="dxa" w:w="2105"/>
            <w:tcMar>
              <w:top w:type="dxa" w:w="70"/>
              <w:left w:type="dxa" w:w="100"/>
              <w:bottom w:type="dxa" w:w="70"/>
              <w:right w:type="dxa" w:w="100"/>
            </w:tcMar>
            <w:vAlign w:val="center"/>
          </w:tcPr>
          <w:p>
            <w:pPr>
              <w:spacing w:after="0" w:line="240"/>
              <w:jc w:val="left"/>
            </w:pPr>
            <w:r>
              <w:rPr>
                <w:rFonts w:ascii="Calibri" w:cs="Calibri" w:eastAsia="Calibri" w:hAnsi="Calibri"/>
                <w:sz w:val="14"/>
                <w:szCs w:val="14"/>
              </w:rPr>
              <w:t xml:space="preserve">No</w:t>
            </w:r>
          </w:p>
        </w:tc>
        <w:tc>
          <w:tcPr>
            <w:tcW w:type="dxa" w:w="2105"/>
            <w:tcMar>
              <w:top w:type="dxa" w:w="70"/>
              <w:left w:type="dxa" w:w="100"/>
              <w:bottom w:type="dxa" w:w="70"/>
              <w:right w:type="dxa" w:w="100"/>
            </w:tcMar>
            <w:vAlign w:val="center"/>
          </w:tcPr>
          <w:p>
            <w:pPr>
              <w:spacing w:after="0" w:line="240"/>
              <w:jc w:val="left"/>
            </w:pPr>
            <w:r>
              <w:rPr>
                <w:rFonts w:ascii="Calibri" w:cs="Calibri" w:eastAsia="Calibri" w:hAnsi="Calibri"/>
                <w:sz w:val="14"/>
                <w:szCs w:val="14"/>
              </w:rPr>
              <w:t xml:space="preserve">No</w:t>
            </w:r>
          </w:p>
        </w:tc>
        <w:tc>
          <w:tcPr>
            <w:tcW w:type="dxa" w:w="2105"/>
            <w:tcMar>
              <w:top w:type="dxa" w:w="70"/>
              <w:left w:type="dxa" w:w="100"/>
              <w:bottom w:type="dxa" w:w="70"/>
              <w:right w:type="dxa" w:w="100"/>
            </w:tcMar>
            <w:vAlign w:val="center"/>
          </w:tcPr>
          <w:p>
            <w:pPr>
              <w:spacing w:after="0" w:line="240"/>
              <w:jc w:val="left"/>
            </w:pPr>
            <w:r>
              <w:rPr>
                <w:rFonts w:ascii="Calibri" w:cs="Calibri" w:eastAsia="Calibri" w:hAnsi="Calibri"/>
                <w:sz w:val="14"/>
                <w:szCs w:val="14"/>
              </w:rPr>
              <w:t xml:space="preserve">No</w:t>
            </w:r>
          </w:p>
        </w:tc>
        <w:tc>
          <w:tcPr>
            <w:tcW w:type="dxa" w:w="2409"/>
            <w:tcMar>
              <w:top w:type="dxa" w:w="70"/>
              <w:left w:type="dxa" w:w="100"/>
              <w:bottom w:type="dxa" w:w="70"/>
              <w:right w:type="dxa" w:w="100"/>
            </w:tcMar>
            <w:vAlign w:val="center"/>
          </w:tcPr>
          <w:p>
            <w:pPr>
              <w:spacing w:after="0" w:line="240"/>
              <w:jc w:val="left"/>
            </w:pPr>
            <w:r>
              <w:rPr>
                <w:rFonts w:ascii="Calibri" w:cs="Calibri" w:eastAsia="Calibri" w:hAnsi="Calibri"/>
                <w:sz w:val="14"/>
                <w:szCs w:val="14"/>
              </w:rPr>
              <w:t xml:space="preserve">Follows the foreign company</w:t>
            </w:r>
          </w:p>
        </w:tc>
      </w:tr>
      <w:tr>
        <w:tc>
          <w:tcPr>
            <w:tcW w:type="dxa" w:w="1804"/>
            <w:tcMar>
              <w:top w:type="dxa" w:w="70"/>
              <w:left w:type="dxa" w:w="100"/>
              <w:bottom w:type="dxa" w:w="70"/>
              <w:right w:type="dxa" w:w="100"/>
            </w:tcMar>
            <w:vAlign w:val="center"/>
          </w:tcPr>
          <w:p>
            <w:pPr>
              <w:spacing w:after="0" w:line="240"/>
              <w:jc w:val="left"/>
            </w:pPr>
            <w:r>
              <w:rPr>
                <w:rFonts w:ascii="Calibri" w:cs="Calibri" w:eastAsia="Calibri" w:hAnsi="Calibri"/>
                <w:sz w:val="14"/>
                <w:szCs w:val="14"/>
              </w:rPr>
              <w:t xml:space="preserve">Taxed on</w:t>
            </w:r>
          </w:p>
        </w:tc>
        <w:tc>
          <w:tcPr>
            <w:tcW w:type="dxa" w:w="2255"/>
            <w:tcMar>
              <w:top w:type="dxa" w:w="70"/>
              <w:left w:type="dxa" w:w="100"/>
              <w:bottom w:type="dxa" w:w="70"/>
              <w:right w:type="dxa" w:w="100"/>
            </w:tcMar>
            <w:vAlign w:val="center"/>
          </w:tcPr>
          <w:p>
            <w:pPr>
              <w:spacing w:after="0" w:line="240"/>
              <w:jc w:val="left"/>
            </w:pPr>
            <w:r>
              <w:rPr>
                <w:rFonts w:ascii="Calibri" w:cs="Calibri" w:eastAsia="Calibri" w:hAnsi="Calibri"/>
                <w:sz w:val="14"/>
                <w:szCs w:val="14"/>
              </w:rPr>
              <w:t xml:space="preserve">The company, at corporate rates</w:t>
            </w:r>
          </w:p>
        </w:tc>
        <w:tc>
          <w:tcPr>
            <w:tcW w:type="dxa" w:w="2255"/>
            <w:tcMar>
              <w:top w:type="dxa" w:w="70"/>
              <w:left w:type="dxa" w:w="100"/>
              <w:bottom w:type="dxa" w:w="70"/>
              <w:right w:type="dxa" w:w="100"/>
            </w:tcMar>
            <w:vAlign w:val="center"/>
          </w:tcPr>
          <w:p>
            <w:pPr>
              <w:spacing w:after="0" w:line="240"/>
              <w:jc w:val="left"/>
            </w:pPr>
            <w:r>
              <w:rPr>
                <w:rFonts w:ascii="Calibri" w:cs="Calibri" w:eastAsia="Calibri" w:hAnsi="Calibri"/>
                <w:sz w:val="14"/>
                <w:szCs w:val="14"/>
              </w:rPr>
              <w:t xml:space="preserve">Partners individually</w:t>
            </w:r>
          </w:p>
        </w:tc>
        <w:tc>
          <w:tcPr>
            <w:tcW w:type="dxa" w:w="2105"/>
            <w:tcMar>
              <w:top w:type="dxa" w:w="70"/>
              <w:left w:type="dxa" w:w="100"/>
              <w:bottom w:type="dxa" w:w="70"/>
              <w:right w:type="dxa" w:w="100"/>
            </w:tcMar>
            <w:vAlign w:val="center"/>
          </w:tcPr>
          <w:p>
            <w:pPr>
              <w:spacing w:after="0" w:line="240"/>
              <w:jc w:val="left"/>
            </w:pPr>
            <w:r>
              <w:rPr>
                <w:rFonts w:ascii="Calibri" w:cs="Calibri" w:eastAsia="Calibri" w:hAnsi="Calibri"/>
                <w:sz w:val="14"/>
                <w:szCs w:val="14"/>
              </w:rPr>
              <w:t xml:space="preserve">Partners individually</w:t>
            </w:r>
          </w:p>
        </w:tc>
        <w:tc>
          <w:tcPr>
            <w:tcW w:type="dxa" w:w="2105"/>
            <w:tcMar>
              <w:top w:type="dxa" w:w="70"/>
              <w:left w:type="dxa" w:w="100"/>
              <w:bottom w:type="dxa" w:w="70"/>
              <w:right w:type="dxa" w:w="100"/>
            </w:tcMar>
            <w:vAlign w:val="center"/>
          </w:tcPr>
          <w:p>
            <w:pPr>
              <w:spacing w:after="0" w:line="240"/>
              <w:jc w:val="left"/>
            </w:pPr>
            <w:r>
              <w:rPr>
                <w:rFonts w:ascii="Calibri" w:cs="Calibri" w:eastAsia="Calibri" w:hAnsi="Calibri"/>
                <w:sz w:val="14"/>
                <w:szCs w:val="14"/>
              </w:rPr>
              <w:t xml:space="preserve">Partners individually</w:t>
            </w:r>
          </w:p>
        </w:tc>
        <w:tc>
          <w:tcPr>
            <w:tcW w:type="dxa" w:w="2105"/>
            <w:tcMar>
              <w:top w:type="dxa" w:w="70"/>
              <w:left w:type="dxa" w:w="100"/>
              <w:bottom w:type="dxa" w:w="70"/>
              <w:right w:type="dxa" w:w="100"/>
            </w:tcMar>
            <w:vAlign w:val="center"/>
          </w:tcPr>
          <w:p>
            <w:pPr>
              <w:spacing w:after="0" w:line="240"/>
              <w:jc w:val="left"/>
            </w:pPr>
            <w:r>
              <w:rPr>
                <w:rFonts w:ascii="Calibri" w:cs="Calibri" w:eastAsia="Calibri" w:hAnsi="Calibri"/>
                <w:sz w:val="14"/>
                <w:szCs w:val="14"/>
              </w:rPr>
              <w:t xml:space="preserve">The owner individually</w:t>
            </w:r>
          </w:p>
        </w:tc>
        <w:tc>
          <w:tcPr>
            <w:tcW w:type="dxa" w:w="2409"/>
            <w:tcMar>
              <w:top w:type="dxa" w:w="70"/>
              <w:left w:type="dxa" w:w="100"/>
              <w:bottom w:type="dxa" w:w="70"/>
              <w:right w:type="dxa" w:w="100"/>
            </w:tcMar>
            <w:vAlign w:val="center"/>
          </w:tcPr>
          <w:p>
            <w:pPr>
              <w:spacing w:after="0" w:line="240"/>
              <w:jc w:val="left"/>
            </w:pPr>
            <w:r>
              <w:rPr>
                <w:rFonts w:ascii="Calibri" w:cs="Calibri" w:eastAsia="Calibri" w:hAnsi="Calibri"/>
                <w:sz w:val="14"/>
                <w:szCs w:val="14"/>
              </w:rPr>
              <w:t xml:space="preserve">The branch, generally at corporate rates</w:t>
            </w:r>
          </w:p>
        </w:tc>
      </w:tr>
      <w:tr>
        <w:tc>
          <w:tcPr>
            <w:tcW w:type="dxa" w:w="1804"/>
            <w:tcMar>
              <w:top w:type="dxa" w:w="70"/>
              <w:left w:type="dxa" w:w="100"/>
              <w:bottom w:type="dxa" w:w="70"/>
              <w:right w:type="dxa" w:w="100"/>
            </w:tcMar>
            <w:vAlign w:val="center"/>
          </w:tcPr>
          <w:p>
            <w:pPr>
              <w:spacing w:after="0" w:line="240"/>
              <w:jc w:val="left"/>
            </w:pPr>
            <w:r>
              <w:rPr>
                <w:rFonts w:ascii="Calibri" w:cs="Calibri" w:eastAsia="Calibri" w:hAnsi="Calibri"/>
                <w:sz w:val="14"/>
                <w:szCs w:val="14"/>
              </w:rPr>
              <w:t xml:space="preserve">Start-up tax incentives</w:t>
            </w:r>
          </w:p>
        </w:tc>
        <w:tc>
          <w:tcPr>
            <w:tcW w:type="dxa" w:w="2255"/>
            <w:tcMar>
              <w:top w:type="dxa" w:w="70"/>
              <w:left w:type="dxa" w:w="100"/>
              <w:bottom w:type="dxa" w:w="70"/>
              <w:right w:type="dxa" w:w="100"/>
            </w:tcMar>
            <w:vAlign w:val="center"/>
          </w:tcPr>
          <w:p>
            <w:pPr>
              <w:spacing w:after="0" w:line="240"/>
              <w:jc w:val="left"/>
            </w:pPr>
            <w:r>
              <w:rPr>
                <w:rFonts w:ascii="Calibri" w:cs="Calibri" w:eastAsia="Calibri" w:hAnsi="Calibri"/>
                <w:b/>
                <w:bCs/>
                <w:sz w:val="14"/>
                <w:szCs w:val="14"/>
              </w:rPr>
              <w:t xml:space="preserve">[Potentially available]</w:t>
            </w:r>
          </w:p>
        </w:tc>
        <w:tc>
          <w:tcPr>
            <w:tcW w:type="dxa" w:w="2255"/>
            <w:tcMar>
              <w:top w:type="dxa" w:w="70"/>
              <w:left w:type="dxa" w:w="100"/>
              <w:bottom w:type="dxa" w:w="70"/>
              <w:right w:type="dxa" w:w="100"/>
            </w:tcMar>
            <w:vAlign w:val="center"/>
          </w:tcPr>
          <w:p>
            <w:pPr>
              <w:spacing w:after="0" w:line="240"/>
              <w:jc w:val="left"/>
            </w:pPr>
            <w:r>
              <w:rPr>
                <w:rFonts w:ascii="Calibri" w:cs="Calibri" w:eastAsia="Calibri" w:hAnsi="Calibri"/>
                <w:sz w:val="14"/>
                <w:szCs w:val="14"/>
              </w:rPr>
              <w:t xml:space="preserve">No</w:t>
            </w:r>
          </w:p>
        </w:tc>
        <w:tc>
          <w:tcPr>
            <w:tcW w:type="dxa" w:w="2105"/>
            <w:tcMar>
              <w:top w:type="dxa" w:w="70"/>
              <w:left w:type="dxa" w:w="100"/>
              <w:bottom w:type="dxa" w:w="70"/>
              <w:right w:type="dxa" w:w="100"/>
            </w:tcMar>
            <w:vAlign w:val="center"/>
          </w:tcPr>
          <w:p>
            <w:pPr>
              <w:spacing w:after="0" w:line="240"/>
              <w:jc w:val="left"/>
            </w:pPr>
            <w:r>
              <w:rPr>
                <w:rFonts w:ascii="Calibri" w:cs="Calibri" w:eastAsia="Calibri" w:hAnsi="Calibri"/>
                <w:sz w:val="14"/>
                <w:szCs w:val="14"/>
              </w:rPr>
              <w:t xml:space="preserve">No</w:t>
            </w:r>
          </w:p>
        </w:tc>
        <w:tc>
          <w:tcPr>
            <w:tcW w:type="dxa" w:w="2105"/>
            <w:tcMar>
              <w:top w:type="dxa" w:w="70"/>
              <w:left w:type="dxa" w:w="100"/>
              <w:bottom w:type="dxa" w:w="70"/>
              <w:right w:type="dxa" w:w="100"/>
            </w:tcMar>
            <w:vAlign w:val="center"/>
          </w:tcPr>
          <w:p>
            <w:pPr>
              <w:spacing w:after="0" w:line="240"/>
              <w:jc w:val="left"/>
            </w:pPr>
            <w:r>
              <w:rPr>
                <w:rFonts w:ascii="Calibri" w:cs="Calibri" w:eastAsia="Calibri" w:hAnsi="Calibri"/>
                <w:sz w:val="14"/>
                <w:szCs w:val="14"/>
              </w:rPr>
              <w:t xml:space="preserve">No</w:t>
            </w:r>
          </w:p>
        </w:tc>
        <w:tc>
          <w:tcPr>
            <w:tcW w:type="dxa" w:w="2105"/>
            <w:tcMar>
              <w:top w:type="dxa" w:w="70"/>
              <w:left w:type="dxa" w:w="100"/>
              <w:bottom w:type="dxa" w:w="70"/>
              <w:right w:type="dxa" w:w="100"/>
            </w:tcMar>
            <w:vAlign w:val="center"/>
          </w:tcPr>
          <w:p>
            <w:pPr>
              <w:spacing w:after="0" w:line="240"/>
              <w:jc w:val="left"/>
            </w:pPr>
            <w:r>
              <w:rPr>
                <w:rFonts w:ascii="Calibri" w:cs="Calibri" w:eastAsia="Calibri" w:hAnsi="Calibri"/>
                <w:sz w:val="14"/>
                <w:szCs w:val="14"/>
              </w:rPr>
              <w:t xml:space="preserve">No</w:t>
            </w:r>
          </w:p>
        </w:tc>
        <w:tc>
          <w:tcPr>
            <w:tcW w:type="dxa" w:w="2409"/>
            <w:tcMar>
              <w:top w:type="dxa" w:w="70"/>
              <w:left w:type="dxa" w:w="100"/>
              <w:bottom w:type="dxa" w:w="70"/>
              <w:right w:type="dxa" w:w="100"/>
            </w:tcMar>
            <w:vAlign w:val="center"/>
          </w:tcPr>
          <w:p>
            <w:pPr>
              <w:spacing w:after="0" w:line="240"/>
              <w:jc w:val="left"/>
            </w:pPr>
            <w:r>
              <w:rPr>
                <w:rFonts w:ascii="Calibri" w:cs="Calibri" w:eastAsia="Calibri" w:hAnsi="Calibri"/>
                <w:sz w:val="14"/>
                <w:szCs w:val="14"/>
              </w:rPr>
              <w:t xml:space="preserve">Generally not</w:t>
            </w:r>
          </w:p>
        </w:tc>
      </w:tr>
      <w:tr>
        <w:tc>
          <w:tcPr>
            <w:tcW w:type="dxa" w:w="1804"/>
            <w:tcMar>
              <w:top w:type="dxa" w:w="70"/>
              <w:left w:type="dxa" w:w="100"/>
              <w:bottom w:type="dxa" w:w="70"/>
              <w:right w:type="dxa" w:w="100"/>
            </w:tcMar>
            <w:vAlign w:val="center"/>
          </w:tcPr>
          <w:p>
            <w:pPr>
              <w:spacing w:after="0" w:line="240"/>
              <w:jc w:val="left"/>
            </w:pPr>
            <w:r>
              <w:rPr>
                <w:rFonts w:ascii="Calibri" w:cs="Calibri" w:eastAsia="Calibri" w:hAnsi="Calibri"/>
                <w:sz w:val="14"/>
                <w:szCs w:val="14"/>
              </w:rPr>
              <w:t xml:space="preserve">Owners</w:t>
            </w:r>
          </w:p>
        </w:tc>
        <w:tc>
          <w:tcPr>
            <w:tcW w:type="dxa" w:w="2255"/>
            <w:tcMar>
              <w:top w:type="dxa" w:w="70"/>
              <w:left w:type="dxa" w:w="100"/>
              <w:bottom w:type="dxa" w:w="70"/>
              <w:right w:type="dxa" w:w="100"/>
            </w:tcMar>
            <w:vAlign w:val="center"/>
          </w:tcPr>
          <w:p>
            <w:pPr>
              <w:spacing w:after="0" w:line="240"/>
              <w:jc w:val="left"/>
            </w:pPr>
            <w:r>
              <w:rPr>
                <w:rFonts w:ascii="Calibri" w:cs="Calibri" w:eastAsia="Calibri" w:hAnsi="Calibri"/>
                <w:sz w:val="14"/>
                <w:szCs w:val="14"/>
              </w:rPr>
              <w:t xml:space="preserve">1–50 members</w:t>
            </w:r>
          </w:p>
        </w:tc>
        <w:tc>
          <w:tcPr>
            <w:tcW w:type="dxa" w:w="2255"/>
            <w:tcMar>
              <w:top w:type="dxa" w:w="70"/>
              <w:left w:type="dxa" w:w="100"/>
              <w:bottom w:type="dxa" w:w="70"/>
              <w:right w:type="dxa" w:w="100"/>
            </w:tcMar>
            <w:vAlign w:val="center"/>
          </w:tcPr>
          <w:p>
            <w:pPr>
              <w:spacing w:after="0" w:line="240"/>
              <w:jc w:val="left"/>
            </w:pPr>
            <w:r>
              <w:rPr>
                <w:rFonts w:ascii="Calibri" w:cs="Calibri" w:eastAsia="Calibri" w:hAnsi="Calibri"/>
                <w:sz w:val="14"/>
                <w:szCs w:val="14"/>
              </w:rPr>
              <w:t xml:space="preserve">2 or more partners</w:t>
            </w:r>
          </w:p>
        </w:tc>
        <w:tc>
          <w:tcPr>
            <w:tcW w:type="dxa" w:w="2105"/>
            <w:tcMar>
              <w:top w:type="dxa" w:w="70"/>
              <w:left w:type="dxa" w:w="100"/>
              <w:bottom w:type="dxa" w:w="70"/>
              <w:right w:type="dxa" w:w="100"/>
            </w:tcMar>
            <w:vAlign w:val="center"/>
          </w:tcPr>
          <w:p>
            <w:pPr>
              <w:spacing w:after="0" w:line="240"/>
              <w:jc w:val="left"/>
            </w:pPr>
            <w:r>
              <w:rPr>
                <w:rFonts w:ascii="Calibri" w:cs="Calibri" w:eastAsia="Calibri" w:hAnsi="Calibri"/>
                <w:sz w:val="14"/>
                <w:szCs w:val="14"/>
              </w:rPr>
              <w:t xml:space="preserve">At least 1 general and 1 limited</w:t>
            </w:r>
          </w:p>
        </w:tc>
        <w:tc>
          <w:tcPr>
            <w:tcW w:type="dxa" w:w="2105"/>
            <w:tcMar>
              <w:top w:type="dxa" w:w="70"/>
              <w:left w:type="dxa" w:w="100"/>
              <w:bottom w:type="dxa" w:w="70"/>
              <w:right w:type="dxa" w:w="100"/>
            </w:tcMar>
            <w:vAlign w:val="center"/>
          </w:tcPr>
          <w:p>
            <w:pPr>
              <w:spacing w:after="0" w:line="240"/>
              <w:jc w:val="left"/>
            </w:pPr>
            <w:r>
              <w:rPr>
                <w:rFonts w:ascii="Calibri" w:cs="Calibri" w:eastAsia="Calibri" w:hAnsi="Calibri"/>
                <w:sz w:val="14"/>
                <w:szCs w:val="14"/>
              </w:rPr>
              <w:t xml:space="preserve">2–20 partners</w:t>
            </w:r>
          </w:p>
        </w:tc>
        <w:tc>
          <w:tcPr>
            <w:tcW w:type="dxa" w:w="2105"/>
            <w:tcMar>
              <w:top w:type="dxa" w:w="70"/>
              <w:left w:type="dxa" w:w="100"/>
              <w:bottom w:type="dxa" w:w="70"/>
              <w:right w:type="dxa" w:w="100"/>
            </w:tcMar>
            <w:vAlign w:val="center"/>
          </w:tcPr>
          <w:p>
            <w:pPr>
              <w:spacing w:after="0" w:line="240"/>
              <w:jc w:val="left"/>
            </w:pPr>
            <w:r>
              <w:rPr>
                <w:rFonts w:ascii="Calibri" w:cs="Calibri" w:eastAsia="Calibri" w:hAnsi="Calibri"/>
                <w:sz w:val="14"/>
                <w:szCs w:val="14"/>
              </w:rPr>
              <w:t xml:space="preserve">1</w:t>
            </w:r>
          </w:p>
        </w:tc>
        <w:tc>
          <w:tcPr>
            <w:tcW w:type="dxa" w:w="2409"/>
            <w:tcMar>
              <w:top w:type="dxa" w:w="70"/>
              <w:left w:type="dxa" w:w="100"/>
              <w:bottom w:type="dxa" w:w="70"/>
              <w:right w:type="dxa" w:w="100"/>
            </w:tcMar>
            <w:vAlign w:val="center"/>
          </w:tcPr>
          <w:p>
            <w:pPr>
              <w:spacing w:after="0" w:line="240"/>
              <w:jc w:val="left"/>
            </w:pPr>
            <w:r>
              <w:rPr>
                <w:rFonts w:ascii="Calibri" w:cs="Calibri" w:eastAsia="Calibri" w:hAnsi="Calibri"/>
                <w:sz w:val="14"/>
                <w:szCs w:val="14"/>
              </w:rPr>
              <w:t xml:space="preserve">N/A</w:t>
            </w:r>
          </w:p>
        </w:tc>
      </w:tr>
      <w:tr>
        <w:tc>
          <w:tcPr>
            <w:tcW w:type="dxa" w:w="1804"/>
            <w:tcMar>
              <w:top w:type="dxa" w:w="70"/>
              <w:left w:type="dxa" w:w="100"/>
              <w:bottom w:type="dxa" w:w="70"/>
              <w:right w:type="dxa" w:w="100"/>
            </w:tcMar>
            <w:vAlign w:val="center"/>
          </w:tcPr>
          <w:p>
            <w:pPr>
              <w:spacing w:after="0" w:line="240"/>
              <w:jc w:val="left"/>
            </w:pPr>
            <w:r>
              <w:rPr>
                <w:rFonts w:ascii="Calibri" w:cs="Calibri" w:eastAsia="Calibri" w:hAnsi="Calibri"/>
                <w:sz w:val="14"/>
                <w:szCs w:val="14"/>
              </w:rPr>
              <w:t xml:space="preserve">Local requirement</w:t>
            </w:r>
          </w:p>
        </w:tc>
        <w:tc>
          <w:tcPr>
            <w:tcW w:type="dxa" w:w="2255"/>
            <w:tcMar>
              <w:top w:type="dxa" w:w="70"/>
              <w:left w:type="dxa" w:w="100"/>
              <w:bottom w:type="dxa" w:w="70"/>
              <w:right w:type="dxa" w:w="100"/>
            </w:tcMar>
            <w:vAlign w:val="center"/>
          </w:tcPr>
          <w:p>
            <w:pPr>
              <w:spacing w:after="0" w:line="240"/>
              <w:jc w:val="left"/>
            </w:pPr>
            <w:r>
              <w:rPr>
                <w:rFonts w:ascii="Calibri" w:cs="Calibri" w:eastAsia="Calibri" w:hAnsi="Calibri"/>
                <w:sz w:val="14"/>
                <w:szCs w:val="14"/>
              </w:rPr>
              <w:t xml:space="preserve">1 resident director</w:t>
            </w:r>
          </w:p>
        </w:tc>
        <w:tc>
          <w:tcPr>
            <w:tcW w:type="dxa" w:w="2255"/>
            <w:tcMar>
              <w:top w:type="dxa" w:w="70"/>
              <w:left w:type="dxa" w:w="100"/>
              <w:bottom w:type="dxa" w:w="70"/>
              <w:right w:type="dxa" w:w="100"/>
            </w:tcMar>
            <w:vAlign w:val="center"/>
          </w:tcPr>
          <w:p>
            <w:pPr>
              <w:spacing w:after="0" w:line="240"/>
              <w:jc w:val="left"/>
            </w:pPr>
            <w:r>
              <w:rPr>
                <w:rFonts w:ascii="Calibri" w:cs="Calibri" w:eastAsia="Calibri" w:hAnsi="Calibri"/>
                <w:sz w:val="14"/>
                <w:szCs w:val="14"/>
              </w:rPr>
              <w:t xml:space="preserve">1 resident manager</w:t>
            </w:r>
          </w:p>
        </w:tc>
        <w:tc>
          <w:tcPr>
            <w:tcW w:type="dxa" w:w="2105"/>
            <w:tcMar>
              <w:top w:type="dxa" w:w="70"/>
              <w:left w:type="dxa" w:w="100"/>
              <w:bottom w:type="dxa" w:w="70"/>
              <w:right w:type="dxa" w:w="100"/>
            </w:tcMar>
            <w:vAlign w:val="center"/>
          </w:tcPr>
          <w:p>
            <w:pPr>
              <w:spacing w:after="0" w:line="240"/>
              <w:jc w:val="left"/>
            </w:pPr>
            <w:r>
              <w:rPr>
                <w:rFonts w:ascii="Calibri" w:cs="Calibri" w:eastAsia="Calibri" w:hAnsi="Calibri"/>
                <w:sz w:val="14"/>
                <w:szCs w:val="14"/>
              </w:rPr>
              <w:t xml:space="preserve">1 resident manager if all general partners are foreign</w:t>
            </w:r>
          </w:p>
        </w:tc>
        <w:tc>
          <w:tcPr>
            <w:tcW w:type="dxa" w:w="2105"/>
            <w:tcMar>
              <w:top w:type="dxa" w:w="70"/>
              <w:left w:type="dxa" w:w="100"/>
              <w:bottom w:type="dxa" w:w="70"/>
              <w:right w:type="dxa" w:w="100"/>
            </w:tcMar>
            <w:vAlign w:val="center"/>
          </w:tcPr>
          <w:p>
            <w:pPr>
              <w:spacing w:after="0" w:line="240"/>
              <w:jc w:val="left"/>
            </w:pPr>
            <w:r>
              <w:rPr>
                <w:rFonts w:ascii="Calibri" w:cs="Calibri" w:eastAsia="Calibri" w:hAnsi="Calibri"/>
                <w:sz w:val="14"/>
                <w:szCs w:val="14"/>
              </w:rPr>
              <w:t xml:space="preserve">Resident manager if all partners are foreign</w:t>
            </w:r>
          </w:p>
        </w:tc>
        <w:tc>
          <w:tcPr>
            <w:tcW w:type="dxa" w:w="2105"/>
            <w:tcMar>
              <w:top w:type="dxa" w:w="70"/>
              <w:left w:type="dxa" w:w="100"/>
              <w:bottom w:type="dxa" w:w="70"/>
              <w:right w:type="dxa" w:w="100"/>
            </w:tcMar>
            <w:vAlign w:val="center"/>
          </w:tcPr>
          <w:p>
            <w:pPr>
              <w:spacing w:after="0" w:line="240"/>
              <w:jc w:val="left"/>
            </w:pPr>
            <w:r>
              <w:rPr>
                <w:rFonts w:ascii="Calibri" w:cs="Calibri" w:eastAsia="Calibri" w:hAnsi="Calibri"/>
                <w:sz w:val="14"/>
                <w:szCs w:val="14"/>
              </w:rPr>
              <w:t xml:space="preserve">Resident manager if owner is foreign</w:t>
            </w:r>
          </w:p>
        </w:tc>
        <w:tc>
          <w:tcPr>
            <w:tcW w:type="dxa" w:w="2409"/>
            <w:tcMar>
              <w:top w:type="dxa" w:w="70"/>
              <w:left w:type="dxa" w:w="100"/>
              <w:bottom w:type="dxa" w:w="70"/>
              <w:right w:type="dxa" w:w="100"/>
            </w:tcMar>
            <w:vAlign w:val="center"/>
          </w:tcPr>
          <w:p>
            <w:pPr>
              <w:spacing w:after="0" w:line="240"/>
              <w:jc w:val="left"/>
            </w:pPr>
            <w:r>
              <w:rPr>
                <w:rFonts w:ascii="Calibri" w:cs="Calibri" w:eastAsia="Calibri" w:hAnsi="Calibri"/>
                <w:sz w:val="14"/>
                <w:szCs w:val="14"/>
              </w:rPr>
              <w:t xml:space="preserve">At least 1 authorised representative resident in Singapore</w:t>
            </w:r>
          </w:p>
        </w:tc>
      </w:tr>
      <w:tr>
        <w:tc>
          <w:tcPr>
            <w:tcW w:type="dxa" w:w="1804"/>
            <w:tcMar>
              <w:top w:type="dxa" w:w="70"/>
              <w:left w:type="dxa" w:w="100"/>
              <w:bottom w:type="dxa" w:w="70"/>
              <w:right w:type="dxa" w:w="100"/>
            </w:tcMar>
            <w:vAlign w:val="center"/>
          </w:tcPr>
          <w:p>
            <w:pPr>
              <w:spacing w:after="0" w:line="240"/>
              <w:jc w:val="left"/>
            </w:pPr>
            <w:r>
              <w:rPr>
                <w:rFonts w:ascii="Calibri" w:cs="Calibri" w:eastAsia="Calibri" w:hAnsi="Calibri"/>
                <w:sz w:val="14"/>
                <w:szCs w:val="14"/>
              </w:rPr>
              <w:t xml:space="preserve">Company secretary</w:t>
            </w:r>
          </w:p>
        </w:tc>
        <w:tc>
          <w:tcPr>
            <w:tcW w:type="dxa" w:w="2255"/>
            <w:tcMar>
              <w:top w:type="dxa" w:w="70"/>
              <w:left w:type="dxa" w:w="100"/>
              <w:bottom w:type="dxa" w:w="70"/>
              <w:right w:type="dxa" w:w="100"/>
            </w:tcMar>
            <w:vAlign w:val="center"/>
          </w:tcPr>
          <w:p>
            <w:pPr>
              <w:spacing w:after="0" w:line="240"/>
              <w:jc w:val="left"/>
            </w:pPr>
            <w:r>
              <w:rPr>
                <w:rFonts w:ascii="Calibri" w:cs="Calibri" w:eastAsia="Calibri" w:hAnsi="Calibri"/>
                <w:b/>
                <w:bCs/>
                <w:sz w:val="14"/>
                <w:szCs w:val="14"/>
              </w:rPr>
              <w:t xml:space="preserve">Required within 6 months</w:t>
            </w:r>
          </w:p>
        </w:tc>
        <w:tc>
          <w:tcPr>
            <w:tcW w:type="dxa" w:w="2255"/>
            <w:tcMar>
              <w:top w:type="dxa" w:w="70"/>
              <w:left w:type="dxa" w:w="100"/>
              <w:bottom w:type="dxa" w:w="70"/>
              <w:right w:type="dxa" w:w="100"/>
            </w:tcMar>
            <w:vAlign w:val="center"/>
          </w:tcPr>
          <w:p>
            <w:pPr>
              <w:spacing w:after="0" w:line="240"/>
              <w:jc w:val="left"/>
            </w:pPr>
            <w:r>
              <w:rPr>
                <w:rFonts w:ascii="Calibri" w:cs="Calibri" w:eastAsia="Calibri" w:hAnsi="Calibri"/>
                <w:sz w:val="14"/>
                <w:szCs w:val="14"/>
              </w:rPr>
              <w:t xml:space="preserve">Not required</w:t>
            </w:r>
          </w:p>
        </w:tc>
        <w:tc>
          <w:tcPr>
            <w:tcW w:type="dxa" w:w="2105"/>
            <w:tcMar>
              <w:top w:type="dxa" w:w="70"/>
              <w:left w:type="dxa" w:w="100"/>
              <w:bottom w:type="dxa" w:w="70"/>
              <w:right w:type="dxa" w:w="100"/>
            </w:tcMar>
            <w:vAlign w:val="center"/>
          </w:tcPr>
          <w:p>
            <w:pPr>
              <w:spacing w:after="0" w:line="240"/>
              <w:jc w:val="left"/>
            </w:pPr>
            <w:r>
              <w:rPr>
                <w:rFonts w:ascii="Calibri" w:cs="Calibri" w:eastAsia="Calibri" w:hAnsi="Calibri"/>
                <w:sz w:val="14"/>
                <w:szCs w:val="14"/>
              </w:rPr>
              <w:t xml:space="preserve">Not required</w:t>
            </w:r>
          </w:p>
        </w:tc>
        <w:tc>
          <w:tcPr>
            <w:tcW w:type="dxa" w:w="2105"/>
            <w:tcMar>
              <w:top w:type="dxa" w:w="70"/>
              <w:left w:type="dxa" w:w="100"/>
              <w:bottom w:type="dxa" w:w="70"/>
              <w:right w:type="dxa" w:w="100"/>
            </w:tcMar>
            <w:vAlign w:val="center"/>
          </w:tcPr>
          <w:p>
            <w:pPr>
              <w:spacing w:after="0" w:line="240"/>
              <w:jc w:val="left"/>
            </w:pPr>
            <w:r>
              <w:rPr>
                <w:rFonts w:ascii="Calibri" w:cs="Calibri" w:eastAsia="Calibri" w:hAnsi="Calibri"/>
                <w:sz w:val="14"/>
                <w:szCs w:val="14"/>
              </w:rPr>
              <w:t xml:space="preserve">Not required</w:t>
            </w:r>
          </w:p>
        </w:tc>
        <w:tc>
          <w:tcPr>
            <w:tcW w:type="dxa" w:w="2105"/>
            <w:tcMar>
              <w:top w:type="dxa" w:w="70"/>
              <w:left w:type="dxa" w:w="100"/>
              <w:bottom w:type="dxa" w:w="70"/>
              <w:right w:type="dxa" w:w="100"/>
            </w:tcMar>
            <w:vAlign w:val="center"/>
          </w:tcPr>
          <w:p>
            <w:pPr>
              <w:spacing w:after="0" w:line="240"/>
              <w:jc w:val="left"/>
            </w:pPr>
            <w:r>
              <w:rPr>
                <w:rFonts w:ascii="Calibri" w:cs="Calibri" w:eastAsia="Calibri" w:hAnsi="Calibri"/>
                <w:sz w:val="14"/>
                <w:szCs w:val="14"/>
              </w:rPr>
              <w:t xml:space="preserve">Not required</w:t>
            </w:r>
          </w:p>
        </w:tc>
        <w:tc>
          <w:tcPr>
            <w:tcW w:type="dxa" w:w="2409"/>
            <w:tcMar>
              <w:top w:type="dxa" w:w="70"/>
              <w:left w:type="dxa" w:w="100"/>
              <w:bottom w:type="dxa" w:w="70"/>
              <w:right w:type="dxa" w:w="100"/>
            </w:tcMar>
            <w:vAlign w:val="center"/>
          </w:tcPr>
          <w:p>
            <w:pPr>
              <w:spacing w:after="0" w:line="240"/>
              <w:jc w:val="left"/>
            </w:pPr>
            <w:r>
              <w:rPr>
                <w:rFonts w:ascii="Calibri" w:cs="Calibri" w:eastAsia="Calibri" w:hAnsi="Calibri"/>
                <w:sz w:val="14"/>
                <w:szCs w:val="14"/>
              </w:rPr>
              <w:t xml:space="preserve">Not required</w:t>
            </w:r>
          </w:p>
        </w:tc>
      </w:tr>
      <w:tr>
        <w:tc>
          <w:tcPr>
            <w:tcW w:type="dxa" w:w="1804"/>
            <w:tcMar>
              <w:top w:type="dxa" w:w="70"/>
              <w:left w:type="dxa" w:w="100"/>
              <w:bottom w:type="dxa" w:w="70"/>
              <w:right w:type="dxa" w:w="100"/>
            </w:tcMar>
            <w:vAlign w:val="center"/>
          </w:tcPr>
          <w:p>
            <w:pPr>
              <w:spacing w:after="0" w:line="240"/>
              <w:jc w:val="left"/>
            </w:pPr>
            <w:r>
              <w:rPr>
                <w:rFonts w:ascii="Calibri" w:cs="Calibri" w:eastAsia="Calibri" w:hAnsi="Calibri"/>
                <w:sz w:val="14"/>
                <w:szCs w:val="14"/>
              </w:rPr>
              <w:t xml:space="preserve">Annual filing</w:t>
            </w:r>
          </w:p>
        </w:tc>
        <w:tc>
          <w:tcPr>
            <w:tcW w:type="dxa" w:w="2255"/>
            <w:tcMar>
              <w:top w:type="dxa" w:w="70"/>
              <w:left w:type="dxa" w:w="100"/>
              <w:bottom w:type="dxa" w:w="70"/>
              <w:right w:type="dxa" w:w="100"/>
            </w:tcMar>
            <w:vAlign w:val="center"/>
          </w:tcPr>
          <w:p>
            <w:pPr>
              <w:spacing w:after="0" w:line="240"/>
              <w:jc w:val="left"/>
            </w:pPr>
            <w:r>
              <w:rPr>
                <w:rFonts w:ascii="Calibri" w:cs="Calibri" w:eastAsia="Calibri" w:hAnsi="Calibri"/>
                <w:sz w:val="14"/>
                <w:szCs w:val="14"/>
              </w:rPr>
              <w:t xml:space="preserve">Annual return; financial statements</w:t>
            </w:r>
          </w:p>
        </w:tc>
        <w:tc>
          <w:tcPr>
            <w:tcW w:type="dxa" w:w="2255"/>
            <w:tcMar>
              <w:top w:type="dxa" w:w="70"/>
              <w:left w:type="dxa" w:w="100"/>
              <w:bottom w:type="dxa" w:w="70"/>
              <w:right w:type="dxa" w:w="100"/>
            </w:tcMar>
            <w:vAlign w:val="center"/>
          </w:tcPr>
          <w:p>
            <w:pPr>
              <w:spacing w:after="0" w:line="240"/>
              <w:jc w:val="left"/>
            </w:pPr>
            <w:r>
              <w:rPr>
                <w:rFonts w:ascii="Calibri" w:cs="Calibri" w:eastAsia="Calibri" w:hAnsi="Calibri"/>
                <w:sz w:val="14"/>
                <w:szCs w:val="14"/>
              </w:rPr>
              <w:t xml:space="preserve">Annual declaration of solvency</w:t>
            </w:r>
          </w:p>
        </w:tc>
        <w:tc>
          <w:tcPr>
            <w:tcW w:type="dxa" w:w="2105"/>
            <w:tcMar>
              <w:top w:type="dxa" w:w="70"/>
              <w:left w:type="dxa" w:w="100"/>
              <w:bottom w:type="dxa" w:w="70"/>
              <w:right w:type="dxa" w:w="100"/>
            </w:tcMar>
            <w:vAlign w:val="center"/>
          </w:tcPr>
          <w:p>
            <w:pPr>
              <w:spacing w:after="0" w:line="240"/>
              <w:jc w:val="left"/>
            </w:pPr>
            <w:r>
              <w:rPr>
                <w:rFonts w:ascii="Calibri" w:cs="Calibri" w:eastAsia="Calibri" w:hAnsi="Calibri"/>
                <w:sz w:val="14"/>
                <w:szCs w:val="14"/>
              </w:rPr>
              <w:t xml:space="preserve">Annual declaration</w:t>
            </w:r>
          </w:p>
        </w:tc>
        <w:tc>
          <w:tcPr>
            <w:tcW w:type="dxa" w:w="2105"/>
            <w:tcMar>
              <w:top w:type="dxa" w:w="70"/>
              <w:left w:type="dxa" w:w="100"/>
              <w:bottom w:type="dxa" w:w="70"/>
              <w:right w:type="dxa" w:w="100"/>
            </w:tcMar>
            <w:vAlign w:val="center"/>
          </w:tcPr>
          <w:p>
            <w:pPr>
              <w:spacing w:after="0" w:line="240"/>
              <w:jc w:val="left"/>
            </w:pPr>
            <w:r>
              <w:rPr>
                <w:rFonts w:ascii="Calibri" w:cs="Calibri" w:eastAsia="Calibri" w:hAnsi="Calibri"/>
                <w:sz w:val="14"/>
                <w:szCs w:val="14"/>
              </w:rPr>
              <w:t xml:space="preserve">Renewal</w:t>
            </w:r>
          </w:p>
        </w:tc>
        <w:tc>
          <w:tcPr>
            <w:tcW w:type="dxa" w:w="2105"/>
            <w:tcMar>
              <w:top w:type="dxa" w:w="70"/>
              <w:left w:type="dxa" w:w="100"/>
              <w:bottom w:type="dxa" w:w="70"/>
              <w:right w:type="dxa" w:w="100"/>
            </w:tcMar>
            <w:vAlign w:val="center"/>
          </w:tcPr>
          <w:p>
            <w:pPr>
              <w:spacing w:after="0" w:line="240"/>
              <w:jc w:val="left"/>
            </w:pPr>
            <w:r>
              <w:rPr>
                <w:rFonts w:ascii="Calibri" w:cs="Calibri" w:eastAsia="Calibri" w:hAnsi="Calibri"/>
                <w:sz w:val="14"/>
                <w:szCs w:val="14"/>
              </w:rPr>
              <w:t xml:space="preserve">Renewal</w:t>
            </w:r>
          </w:p>
        </w:tc>
        <w:tc>
          <w:tcPr>
            <w:tcW w:type="dxa" w:w="2409"/>
            <w:tcMar>
              <w:top w:type="dxa" w:w="70"/>
              <w:left w:type="dxa" w:w="100"/>
              <w:bottom w:type="dxa" w:w="70"/>
              <w:right w:type="dxa" w:w="100"/>
            </w:tcMar>
            <w:vAlign w:val="center"/>
          </w:tcPr>
          <w:p>
            <w:pPr>
              <w:spacing w:after="0" w:line="240"/>
              <w:jc w:val="left"/>
            </w:pPr>
            <w:r>
              <w:rPr>
                <w:rFonts w:ascii="Calibri" w:cs="Calibri" w:eastAsia="Calibri" w:hAnsi="Calibri"/>
                <w:sz w:val="14"/>
                <w:szCs w:val="14"/>
              </w:rPr>
              <w:t xml:space="preserve">Foreign company’s accounts plus branch accounts</w:t>
            </w:r>
          </w:p>
        </w:tc>
      </w:tr>
      <w:tr>
        <w:tc>
          <w:tcPr>
            <w:tcW w:type="dxa" w:w="1804"/>
            <w:tcMar>
              <w:top w:type="dxa" w:w="70"/>
              <w:left w:type="dxa" w:w="100"/>
              <w:bottom w:type="dxa" w:w="70"/>
              <w:right w:type="dxa" w:w="100"/>
            </w:tcMar>
            <w:vAlign w:val="center"/>
          </w:tcPr>
          <w:p>
            <w:pPr>
              <w:spacing w:after="0" w:line="240"/>
              <w:jc w:val="left"/>
            </w:pPr>
            <w:r>
              <w:rPr>
                <w:rFonts w:ascii="Calibri" w:cs="Calibri" w:eastAsia="Calibri" w:hAnsi="Calibri"/>
                <w:sz w:val="14"/>
                <w:szCs w:val="14"/>
              </w:rPr>
              <w:t xml:space="preserve">Audit</w:t>
            </w:r>
          </w:p>
        </w:tc>
        <w:tc>
          <w:tcPr>
            <w:tcW w:type="dxa" w:w="2255"/>
            <w:tcMar>
              <w:top w:type="dxa" w:w="70"/>
              <w:left w:type="dxa" w:w="100"/>
              <w:bottom w:type="dxa" w:w="70"/>
              <w:right w:type="dxa" w:w="100"/>
            </w:tcMar>
            <w:vAlign w:val="center"/>
          </w:tcPr>
          <w:p>
            <w:pPr>
              <w:spacing w:after="0" w:line="240"/>
              <w:jc w:val="left"/>
            </w:pPr>
            <w:r>
              <w:rPr>
                <w:rFonts w:ascii="Calibri" w:cs="Calibri" w:eastAsia="Calibri" w:hAnsi="Calibri"/>
                <w:sz w:val="14"/>
                <w:szCs w:val="14"/>
              </w:rPr>
              <w:t xml:space="preserve">Unless small company exempt</w:t>
            </w:r>
          </w:p>
        </w:tc>
        <w:tc>
          <w:tcPr>
            <w:tcW w:type="dxa" w:w="2255"/>
            <w:tcMar>
              <w:top w:type="dxa" w:w="70"/>
              <w:left w:type="dxa" w:w="100"/>
              <w:bottom w:type="dxa" w:w="70"/>
              <w:right w:type="dxa" w:w="100"/>
            </w:tcMar>
            <w:vAlign w:val="center"/>
          </w:tcPr>
          <w:p>
            <w:pPr>
              <w:spacing w:after="0" w:line="240"/>
              <w:jc w:val="left"/>
            </w:pPr>
            <w:r>
              <w:rPr>
                <w:rFonts w:ascii="Calibri" w:cs="Calibri" w:eastAsia="Calibri" w:hAnsi="Calibri"/>
                <w:sz w:val="14"/>
                <w:szCs w:val="14"/>
              </w:rPr>
              <w:t xml:space="preserve">Generally not required</w:t>
            </w:r>
          </w:p>
        </w:tc>
        <w:tc>
          <w:tcPr>
            <w:tcW w:type="dxa" w:w="2105"/>
            <w:tcMar>
              <w:top w:type="dxa" w:w="70"/>
              <w:left w:type="dxa" w:w="100"/>
              <w:bottom w:type="dxa" w:w="70"/>
              <w:right w:type="dxa" w:w="100"/>
            </w:tcMar>
            <w:vAlign w:val="center"/>
          </w:tcPr>
          <w:p>
            <w:pPr>
              <w:spacing w:after="0" w:line="240"/>
              <w:jc w:val="left"/>
            </w:pPr>
            <w:r>
              <w:rPr>
                <w:rFonts w:ascii="Calibri" w:cs="Calibri" w:eastAsia="Calibri" w:hAnsi="Calibri"/>
                <w:sz w:val="14"/>
                <w:szCs w:val="14"/>
              </w:rPr>
              <w:t xml:space="preserve">Not required</w:t>
            </w:r>
          </w:p>
        </w:tc>
        <w:tc>
          <w:tcPr>
            <w:tcW w:type="dxa" w:w="2105"/>
            <w:tcMar>
              <w:top w:type="dxa" w:w="70"/>
              <w:left w:type="dxa" w:w="100"/>
              <w:bottom w:type="dxa" w:w="70"/>
              <w:right w:type="dxa" w:w="100"/>
            </w:tcMar>
            <w:vAlign w:val="center"/>
          </w:tcPr>
          <w:p>
            <w:pPr>
              <w:spacing w:after="0" w:line="240"/>
              <w:jc w:val="left"/>
            </w:pPr>
            <w:r>
              <w:rPr>
                <w:rFonts w:ascii="Calibri" w:cs="Calibri" w:eastAsia="Calibri" w:hAnsi="Calibri"/>
                <w:sz w:val="14"/>
                <w:szCs w:val="14"/>
              </w:rPr>
              <w:t xml:space="preserve">Not required</w:t>
            </w:r>
          </w:p>
        </w:tc>
        <w:tc>
          <w:tcPr>
            <w:tcW w:type="dxa" w:w="2105"/>
            <w:tcMar>
              <w:top w:type="dxa" w:w="70"/>
              <w:left w:type="dxa" w:w="100"/>
              <w:bottom w:type="dxa" w:w="70"/>
              <w:right w:type="dxa" w:w="100"/>
            </w:tcMar>
            <w:vAlign w:val="center"/>
          </w:tcPr>
          <w:p>
            <w:pPr>
              <w:spacing w:after="0" w:line="240"/>
              <w:jc w:val="left"/>
            </w:pPr>
            <w:r>
              <w:rPr>
                <w:rFonts w:ascii="Calibri" w:cs="Calibri" w:eastAsia="Calibri" w:hAnsi="Calibri"/>
                <w:sz w:val="14"/>
                <w:szCs w:val="14"/>
              </w:rPr>
              <w:t xml:space="preserve">Not required</w:t>
            </w:r>
          </w:p>
        </w:tc>
        <w:tc>
          <w:tcPr>
            <w:tcW w:type="dxa" w:w="2409"/>
            <w:tcMar>
              <w:top w:type="dxa" w:w="70"/>
              <w:left w:type="dxa" w:w="100"/>
              <w:bottom w:type="dxa" w:w="70"/>
              <w:right w:type="dxa" w:w="100"/>
            </w:tcMar>
            <w:vAlign w:val="center"/>
          </w:tcPr>
          <w:p>
            <w:pPr>
              <w:spacing w:after="0" w:line="240"/>
              <w:jc w:val="left"/>
            </w:pPr>
            <w:r>
              <w:rPr>
                <w:rFonts w:ascii="Calibri" w:cs="Calibri" w:eastAsia="Calibri" w:hAnsi="Calibri"/>
                <w:sz w:val="14"/>
                <w:szCs w:val="14"/>
              </w:rPr>
              <w:t xml:space="preserve">Per requirements</w:t>
            </w:r>
          </w:p>
        </w:tc>
      </w:tr>
      <w:tr>
        <w:tc>
          <w:tcPr>
            <w:tcW w:type="dxa" w:w="1804"/>
            <w:tcMar>
              <w:top w:type="dxa" w:w="70"/>
              <w:left w:type="dxa" w:w="100"/>
              <w:bottom w:type="dxa" w:w="70"/>
              <w:right w:type="dxa" w:w="100"/>
            </w:tcMar>
            <w:vAlign w:val="center"/>
          </w:tcPr>
          <w:p>
            <w:pPr>
              <w:spacing w:after="0" w:line="240"/>
              <w:jc w:val="left"/>
            </w:pPr>
            <w:r>
              <w:rPr>
                <w:rFonts w:ascii="Calibri" w:cs="Calibri" w:eastAsia="Calibri" w:hAnsi="Calibri"/>
                <w:sz w:val="14"/>
                <w:szCs w:val="14"/>
              </w:rPr>
              <w:t xml:space="preserve">Suits</w:t>
            </w:r>
          </w:p>
        </w:tc>
        <w:tc>
          <w:tcPr>
            <w:tcW w:type="dxa" w:w="2255"/>
            <w:tcMar>
              <w:top w:type="dxa" w:w="70"/>
              <w:left w:type="dxa" w:w="100"/>
              <w:bottom w:type="dxa" w:w="70"/>
              <w:right w:type="dxa" w:w="100"/>
            </w:tcMar>
            <w:vAlign w:val="center"/>
          </w:tcPr>
          <w:p>
            <w:pPr>
              <w:spacing w:after="0" w:line="240"/>
              <w:jc w:val="left"/>
            </w:pPr>
            <w:r>
              <w:rPr>
                <w:rFonts w:ascii="Calibri" w:cs="Calibri" w:eastAsia="Calibri" w:hAnsi="Calibri"/>
                <w:sz w:val="14"/>
                <w:szCs w:val="14"/>
              </w:rPr>
              <w:t xml:space="preserve">Almost all trading businesses; anything raising equity</w:t>
            </w:r>
          </w:p>
        </w:tc>
        <w:tc>
          <w:tcPr>
            <w:tcW w:type="dxa" w:w="2255"/>
            <w:tcMar>
              <w:top w:type="dxa" w:w="70"/>
              <w:left w:type="dxa" w:w="100"/>
              <w:bottom w:type="dxa" w:w="70"/>
              <w:right w:type="dxa" w:w="100"/>
            </w:tcMar>
            <w:vAlign w:val="center"/>
          </w:tcPr>
          <w:p>
            <w:pPr>
              <w:spacing w:after="0" w:line="240"/>
              <w:jc w:val="left"/>
            </w:pPr>
            <w:r>
              <w:rPr>
                <w:rFonts w:ascii="Calibri" w:cs="Calibri" w:eastAsia="Calibri" w:hAnsi="Calibri"/>
                <w:sz w:val="14"/>
                <w:szCs w:val="14"/>
              </w:rPr>
              <w:t xml:space="preserve">Professional practices; joint ventures between firms</w:t>
            </w:r>
          </w:p>
        </w:tc>
        <w:tc>
          <w:tcPr>
            <w:tcW w:type="dxa" w:w="2105"/>
            <w:tcMar>
              <w:top w:type="dxa" w:w="70"/>
              <w:left w:type="dxa" w:w="100"/>
              <w:bottom w:type="dxa" w:w="70"/>
              <w:right w:type="dxa" w:w="100"/>
            </w:tcMar>
            <w:vAlign w:val="center"/>
          </w:tcPr>
          <w:p>
            <w:pPr>
              <w:spacing w:after="0" w:line="240"/>
              <w:jc w:val="left"/>
            </w:pPr>
            <w:r>
              <w:rPr>
                <w:rFonts w:ascii="Calibri" w:cs="Calibri" w:eastAsia="Calibri" w:hAnsi="Calibri"/>
                <w:sz w:val="14"/>
                <w:szCs w:val="14"/>
              </w:rPr>
              <w:t xml:space="preserve">Fund structures; passive investors</w:t>
            </w:r>
          </w:p>
        </w:tc>
        <w:tc>
          <w:tcPr>
            <w:tcW w:type="dxa" w:w="2105"/>
            <w:tcMar>
              <w:top w:type="dxa" w:w="70"/>
              <w:left w:type="dxa" w:w="100"/>
              <w:bottom w:type="dxa" w:w="70"/>
              <w:right w:type="dxa" w:w="100"/>
            </w:tcMar>
            <w:vAlign w:val="center"/>
          </w:tcPr>
          <w:p>
            <w:pPr>
              <w:spacing w:after="0" w:line="240"/>
              <w:jc w:val="left"/>
            </w:pPr>
            <w:r>
              <w:rPr>
                <w:rFonts w:ascii="Calibri" w:cs="Calibri" w:eastAsia="Calibri" w:hAnsi="Calibri"/>
                <w:sz w:val="14"/>
                <w:szCs w:val="14"/>
              </w:rPr>
              <w:t xml:space="preserve">Rare — legacy arrangements</w:t>
            </w:r>
          </w:p>
        </w:tc>
        <w:tc>
          <w:tcPr>
            <w:tcW w:type="dxa" w:w="2105"/>
            <w:tcMar>
              <w:top w:type="dxa" w:w="70"/>
              <w:left w:type="dxa" w:w="100"/>
              <w:bottom w:type="dxa" w:w="70"/>
              <w:right w:type="dxa" w:w="100"/>
            </w:tcMar>
            <w:vAlign w:val="center"/>
          </w:tcPr>
          <w:p>
            <w:pPr>
              <w:spacing w:after="0" w:line="240"/>
              <w:jc w:val="left"/>
            </w:pPr>
            <w:r>
              <w:rPr>
                <w:rFonts w:ascii="Calibri" w:cs="Calibri" w:eastAsia="Calibri" w:hAnsi="Calibri"/>
                <w:sz w:val="14"/>
                <w:szCs w:val="14"/>
              </w:rPr>
              <w:t xml:space="preserve">Very small single-owner businesses</w:t>
            </w:r>
          </w:p>
        </w:tc>
        <w:tc>
          <w:tcPr>
            <w:tcW w:type="dxa" w:w="2409"/>
            <w:tcMar>
              <w:top w:type="dxa" w:w="70"/>
              <w:left w:type="dxa" w:w="100"/>
              <w:bottom w:type="dxa" w:w="70"/>
              <w:right w:type="dxa" w:w="100"/>
            </w:tcMar>
            <w:vAlign w:val="center"/>
          </w:tcPr>
          <w:p>
            <w:pPr>
              <w:spacing w:after="0" w:line="240"/>
              <w:jc w:val="left"/>
            </w:pPr>
            <w:r>
              <w:rPr>
                <w:rFonts w:ascii="Calibri" w:cs="Calibri" w:eastAsia="Calibri" w:hAnsi="Calibri"/>
                <w:sz w:val="14"/>
                <w:szCs w:val="14"/>
              </w:rPr>
              <w:t xml:space="preserve">Foreign company testing the market</w:t>
            </w:r>
          </w:p>
        </w:tc>
      </w:tr>
      <w:tr>
        <w:tc>
          <w:tcPr>
            <w:tcW w:type="dxa" w:w="1804"/>
            <w:tcMar>
              <w:top w:type="dxa" w:w="70"/>
              <w:left w:type="dxa" w:w="100"/>
              <w:bottom w:type="dxa" w:w="70"/>
              <w:right w:type="dxa" w:w="100"/>
            </w:tcMar>
            <w:vAlign w:val="center"/>
          </w:tcPr>
          <w:p>
            <w:pPr>
              <w:spacing w:after="0" w:line="240"/>
              <w:jc w:val="left"/>
            </w:pPr>
            <w:r>
              <w:rPr>
                <w:rFonts w:ascii="Calibri" w:cs="Calibri" w:eastAsia="Calibri" w:hAnsi="Calibri"/>
                <w:sz w:val="14"/>
                <w:szCs w:val="14"/>
              </w:rPr>
              <w:t xml:space="preserve">Main drawback</w:t>
            </w:r>
          </w:p>
        </w:tc>
        <w:tc>
          <w:tcPr>
            <w:tcW w:type="dxa" w:w="2255"/>
            <w:tcMar>
              <w:top w:type="dxa" w:w="70"/>
              <w:left w:type="dxa" w:w="100"/>
              <w:bottom w:type="dxa" w:w="70"/>
              <w:right w:type="dxa" w:w="100"/>
            </w:tcMar>
            <w:vAlign w:val="center"/>
          </w:tcPr>
          <w:p>
            <w:pPr>
              <w:spacing w:after="0" w:line="240"/>
              <w:jc w:val="left"/>
            </w:pPr>
            <w:r>
              <w:rPr>
                <w:rFonts w:ascii="Calibri" w:cs="Calibri" w:eastAsia="Calibri" w:hAnsi="Calibri"/>
                <w:sz w:val="14"/>
                <w:szCs w:val="14"/>
              </w:rPr>
              <w:t xml:space="preserve">More compliance</w:t>
            </w:r>
          </w:p>
        </w:tc>
        <w:tc>
          <w:tcPr>
            <w:tcW w:type="dxa" w:w="2255"/>
            <w:tcMar>
              <w:top w:type="dxa" w:w="70"/>
              <w:left w:type="dxa" w:w="100"/>
              <w:bottom w:type="dxa" w:w="70"/>
              <w:right w:type="dxa" w:w="100"/>
            </w:tcMar>
            <w:vAlign w:val="center"/>
          </w:tcPr>
          <w:p>
            <w:pPr>
              <w:spacing w:after="0" w:line="240"/>
              <w:jc w:val="left"/>
            </w:pPr>
            <w:r>
              <w:rPr>
                <w:rFonts w:ascii="Calibri" w:cs="Calibri" w:eastAsia="Calibri" w:hAnsi="Calibri"/>
                <w:sz w:val="14"/>
                <w:szCs w:val="14"/>
              </w:rPr>
              <w:t xml:space="preserve">Not fundable by equity investors</w:t>
            </w:r>
          </w:p>
        </w:tc>
        <w:tc>
          <w:tcPr>
            <w:tcW w:type="dxa" w:w="2105"/>
            <w:tcMar>
              <w:top w:type="dxa" w:w="70"/>
              <w:left w:type="dxa" w:w="100"/>
              <w:bottom w:type="dxa" w:w="70"/>
              <w:right w:type="dxa" w:w="100"/>
            </w:tcMar>
            <w:vAlign w:val="center"/>
          </w:tcPr>
          <w:p>
            <w:pPr>
              <w:spacing w:after="0" w:line="240"/>
              <w:jc w:val="left"/>
            </w:pPr>
            <w:r>
              <w:rPr>
                <w:rFonts w:ascii="Calibri" w:cs="Calibri" w:eastAsia="Calibri" w:hAnsi="Calibri"/>
                <w:sz w:val="14"/>
                <w:szCs w:val="14"/>
              </w:rPr>
              <w:t xml:space="preserve">Complexity; limited partners lose protection if they manage</w:t>
            </w:r>
          </w:p>
        </w:tc>
        <w:tc>
          <w:tcPr>
            <w:tcW w:type="dxa" w:w="2105"/>
            <w:tcMar>
              <w:top w:type="dxa" w:w="70"/>
              <w:left w:type="dxa" w:w="100"/>
              <w:bottom w:type="dxa" w:w="70"/>
              <w:right w:type="dxa" w:w="100"/>
            </w:tcMar>
            <w:vAlign w:val="center"/>
          </w:tcPr>
          <w:p>
            <w:pPr>
              <w:spacing w:after="0" w:line="240"/>
              <w:jc w:val="left"/>
            </w:pPr>
            <w:r>
              <w:rPr>
                <w:rFonts w:ascii="Calibri" w:cs="Calibri" w:eastAsia="Calibri" w:hAnsi="Calibri"/>
                <w:b/>
                <w:bCs/>
                <w:sz w:val="14"/>
                <w:szCs w:val="14"/>
              </w:rPr>
              <w:t xml:space="preserve">Unlimited personal liability</w:t>
            </w:r>
          </w:p>
        </w:tc>
        <w:tc>
          <w:tcPr>
            <w:tcW w:type="dxa" w:w="2105"/>
            <w:tcMar>
              <w:top w:type="dxa" w:w="70"/>
              <w:left w:type="dxa" w:w="100"/>
              <w:bottom w:type="dxa" w:w="70"/>
              <w:right w:type="dxa" w:w="100"/>
            </w:tcMar>
            <w:vAlign w:val="center"/>
          </w:tcPr>
          <w:p>
            <w:pPr>
              <w:spacing w:after="0" w:line="240"/>
              <w:jc w:val="left"/>
            </w:pPr>
            <w:r>
              <w:rPr>
                <w:rFonts w:ascii="Calibri" w:cs="Calibri" w:eastAsia="Calibri" w:hAnsi="Calibri"/>
                <w:b/>
                <w:bCs/>
                <w:sz w:val="14"/>
                <w:szCs w:val="14"/>
              </w:rPr>
              <w:t xml:space="preserve">Unlimited personal liability</w:t>
            </w:r>
          </w:p>
        </w:tc>
        <w:tc>
          <w:tcPr>
            <w:tcW w:type="dxa" w:w="2409"/>
            <w:tcMar>
              <w:top w:type="dxa" w:w="70"/>
              <w:left w:type="dxa" w:w="100"/>
              <w:bottom w:type="dxa" w:w="70"/>
              <w:right w:type="dxa" w:w="100"/>
            </w:tcMar>
            <w:vAlign w:val="center"/>
          </w:tcPr>
          <w:p>
            <w:pPr>
              <w:spacing w:after="0" w:line="240"/>
              <w:jc w:val="left"/>
            </w:pPr>
            <w:r>
              <w:rPr>
                <w:rFonts w:ascii="Calibri" w:cs="Calibri" w:eastAsia="Calibri" w:hAnsi="Calibri"/>
                <w:sz w:val="14"/>
                <w:szCs w:val="14"/>
              </w:rPr>
              <w:t xml:space="preserve">Parent exposed; no separate liability shield</w:t>
            </w:r>
          </w:p>
        </w:tc>
      </w:tr>
    </w:tbl>
    <w:p>
      <w:pPr>
        <w:sectPr>
          <w:footerReference w:type="default" r:id="rId11"/>
          <w:footerReference w:type="first" r:id="rId12"/>
          <w:pgSz w:w="16838" w:h="11906" w:orient="landscape"/>
          <w:pgMar w:top="900" w:right="900" w:bottom="900" w:left="900" w:header="708" w:footer="708" w:gutter="0"/>
          <w:pgNumType/>
          <w:titlePg w:val="false"/>
          <w:docGrid w:linePitch="360"/>
        </w:sectPr>
      </w:pPr>
    </w:p>
    <w:p>
      <w:pPr>
        <w:keepNext/>
        <w:spacing w:after="120" w:before="280"/>
        <w:outlineLvl w:val="0"/>
      </w:pPr>
      <w:r>
        <w:rPr>
          <w:rFonts w:ascii="Calibri" w:cs="Calibri" w:eastAsia="Calibri" w:hAnsi="Calibri"/>
          <w:b/>
          <w:bCs/>
          <w:color w:val="14161B"/>
          <w:sz w:val="22"/>
          <w:szCs w:val="22"/>
        </w:rPr>
        <w:t xml:space="preserve">3. THE VARIABLE CAPITAL COMPANY</w:t>
      </w:r>
    </w:p>
    <w:p>
      <w:pPr>
        <w:spacing w:after="120" w:before="60" w:line="276"/>
        <w:ind w:left="720" w:hanging="720"/>
        <w:jc w:val="both"/>
      </w:pPr>
      <w:r>
        <w:rPr>
          <w:rFonts w:ascii="Calibri" w:cs="Calibri" w:eastAsia="Calibri" w:hAnsi="Calibri"/>
          <w:sz w:val="21"/>
          <w:szCs w:val="21"/>
        </w:rPr>
        <w:t xml:space="preserve">3.1	</w:t>
      </w:r>
      <w:r>
        <w:rPr>
          <w:rFonts w:ascii="Calibri" w:cs="Calibri" w:eastAsia="Calibri" w:hAnsi="Calibri"/>
          <w:sz w:val="21"/>
          <w:szCs w:val="21"/>
        </w:rPr>
        <w:t xml:space="preserve">The </w:t>
      </w:r>
      <w:r>
        <w:rPr>
          <w:rFonts w:ascii="Calibri" w:cs="Calibri" w:eastAsia="Calibri" w:hAnsi="Calibri"/>
          <w:b/>
          <w:bCs/>
          <w:sz w:val="21"/>
          <w:szCs w:val="21"/>
        </w:rPr>
        <w:t xml:space="preserve">VCC</w:t>
      </w:r>
      <w:r>
        <w:rPr>
          <w:rFonts w:ascii="Calibri" w:cs="Calibri" w:eastAsia="Calibri" w:hAnsi="Calibri"/>
          <w:sz w:val="21"/>
          <w:szCs w:val="21"/>
        </w:rPr>
        <w:t xml:space="preserve"> is a corporate structure designed specifically for </w:t>
      </w:r>
      <w:r>
        <w:rPr>
          <w:rFonts w:ascii="Calibri" w:cs="Calibri" w:eastAsia="Calibri" w:hAnsi="Calibri"/>
          <w:b/>
          <w:bCs/>
          <w:sz w:val="21"/>
          <w:szCs w:val="21"/>
        </w:rPr>
        <w:t xml:space="preserve">investment funds</w:t>
      </w:r>
      <w:r>
        <w:rPr>
          <w:rFonts w:ascii="Calibri" w:cs="Calibri" w:eastAsia="Calibri" w:hAnsi="Calibri"/>
          <w:sz w:val="21"/>
          <w:szCs w:val="21"/>
        </w:rPr>
        <w:t xml:space="preserve">. It is not a general trading vehicle and should not be used as one.</w:t>
      </w:r>
    </w:p>
    <w:tbl>
      <w:tblPr>
        <w:tblW w:type="dxa" w:w="9638"/>
        <w:tblBorders>
          <w:top w:val="single" w:color="B9BEC8" w:sz="4"/>
          <w:left w:val="single" w:color="B9BEC8" w:sz="4"/>
          <w:bottom w:val="single" w:color="B9BEC8" w:sz="4"/>
          <w:right w:val="single" w:color="B9BEC8" w:sz="4"/>
          <w:insideH w:val="single" w:color="D3D7DF" w:sz="2"/>
          <w:insideV w:val="single" w:color="D3D7DF" w:sz="2"/>
        </w:tblBorders>
      </w:tblPr>
      <w:tblGrid>
        <w:gridCol w:w="2505"/>
        <w:gridCol w:w="7133"/>
      </w:tblGrid>
      <w:tr>
        <w:trPr>
          <w:tblHeader/>
        </w:trPr>
        <w:tc>
          <w:tcPr>
            <w:tcW w:type="dxa" w:w="2505"/>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Feature</w:t>
            </w:r>
          </w:p>
        </w:tc>
        <w:tc>
          <w:tcPr>
            <w:tcW w:type="dxa" w:w="7133"/>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Detail</w:t>
            </w:r>
          </w:p>
        </w:tc>
      </w:tr>
      <w:tr>
        <w:tc>
          <w:tcPr>
            <w:tcW w:type="dxa" w:w="2505"/>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Purpose</w:t>
            </w:r>
          </w:p>
        </w:tc>
        <w:tc>
          <w:tcPr>
            <w:tcW w:type="dxa" w:w="7133"/>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Collective investment schemes — open-ended or closed-ended</w:t>
            </w:r>
          </w:p>
        </w:tc>
      </w:tr>
      <w:tr>
        <w:tc>
          <w:tcPr>
            <w:tcW w:type="dxa" w:w="2505"/>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Umbrella structure</w:t>
            </w:r>
          </w:p>
        </w:tc>
        <w:tc>
          <w:tcPr>
            <w:tcW w:type="dxa" w:w="7133"/>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May have </w:t>
            </w:r>
            <w:r>
              <w:rPr>
                <w:rFonts w:ascii="Calibri" w:cs="Calibri" w:eastAsia="Calibri" w:hAnsi="Calibri"/>
                <w:b/>
                <w:bCs/>
                <w:sz w:val="18"/>
                <w:szCs w:val="18"/>
              </w:rPr>
              <w:t xml:space="preserve">sub-funds</w:t>
            </w:r>
            <w:r>
              <w:rPr>
                <w:rFonts w:ascii="Calibri" w:cs="Calibri" w:eastAsia="Calibri" w:hAnsi="Calibri"/>
                <w:sz w:val="18"/>
                <w:szCs w:val="18"/>
              </w:rPr>
              <w:t xml:space="preserve"> whose assets and liabilities are segregated from each other</w:t>
            </w:r>
          </w:p>
        </w:tc>
      </w:tr>
      <w:tr>
        <w:tc>
          <w:tcPr>
            <w:tcW w:type="dxa" w:w="2505"/>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Capital</w:t>
            </w:r>
          </w:p>
        </w:tc>
        <w:tc>
          <w:tcPr>
            <w:tcW w:type="dxa" w:w="7133"/>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Variable — shares issued and redeemed at net asset value without capital reduction procedures</w:t>
            </w:r>
          </w:p>
        </w:tc>
      </w:tr>
      <w:tr>
        <w:tc>
          <w:tcPr>
            <w:tcW w:type="dxa" w:w="2505"/>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Dividends</w:t>
            </w:r>
          </w:p>
        </w:tc>
        <w:tc>
          <w:tcPr>
            <w:tcW w:type="dxa" w:w="7133"/>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May be paid out of capital, not only profits</w:t>
            </w:r>
          </w:p>
        </w:tc>
      </w:tr>
      <w:tr>
        <w:tc>
          <w:tcPr>
            <w:tcW w:type="dxa" w:w="2505"/>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Register of members</w:t>
            </w:r>
          </w:p>
        </w:tc>
        <w:tc>
          <w:tcPr>
            <w:tcW w:type="dxa" w:w="7133"/>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Not public</w:t>
            </w:r>
          </w:p>
        </w:tc>
      </w:tr>
      <w:tr>
        <w:tc>
          <w:tcPr>
            <w:tcW w:type="dxa" w:w="2505"/>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Fund manager</w:t>
            </w:r>
          </w:p>
        </w:tc>
        <w:tc>
          <w:tcPr>
            <w:tcW w:type="dxa" w:w="7133"/>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Must be a </w:t>
            </w:r>
            <w:r>
              <w:rPr>
                <w:rFonts w:ascii="Calibri" w:cs="Calibri" w:eastAsia="Calibri" w:hAnsi="Calibri"/>
                <w:b/>
                <w:bCs/>
                <w:sz w:val="18"/>
                <w:szCs w:val="18"/>
              </w:rPr>
              <w:t xml:space="preserve">permissible fund manager</w:t>
            </w:r>
            <w:r>
              <w:rPr>
                <w:rFonts w:ascii="Calibri" w:cs="Calibri" w:eastAsia="Calibri" w:hAnsi="Calibri"/>
                <w:sz w:val="18"/>
                <w:szCs w:val="18"/>
              </w:rPr>
              <w:t xml:space="preserve"> — a regulated entity</w:t>
            </w:r>
          </w:p>
        </w:tc>
      </w:tr>
      <w:tr>
        <w:tc>
          <w:tcPr>
            <w:tcW w:type="dxa" w:w="2505"/>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Directors</w:t>
            </w:r>
          </w:p>
        </w:tc>
        <w:tc>
          <w:tcPr>
            <w:tcW w:type="dxa" w:w="7133"/>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At least one ordinarily resident in Singapore; at least one director must also be a director or qualified representative of the fund manager</w:t>
            </w:r>
          </w:p>
        </w:tc>
      </w:tr>
      <w:tr>
        <w:tc>
          <w:tcPr>
            <w:tcW w:type="dxa" w:w="2505"/>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Audit</w:t>
            </w:r>
          </w:p>
        </w:tc>
        <w:tc>
          <w:tcPr>
            <w:tcW w:type="dxa" w:w="7133"/>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Required — no small company exemption</w:t>
            </w:r>
          </w:p>
        </w:tc>
      </w:tr>
      <w:tr>
        <w:tc>
          <w:tcPr>
            <w:tcW w:type="dxa" w:w="2505"/>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Regulator</w:t>
            </w:r>
          </w:p>
        </w:tc>
        <w:tc>
          <w:tcPr>
            <w:tcW w:type="dxa" w:w="7133"/>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Registered with ACRA; the scheme is subject to the securities and futures regime</w:t>
            </w:r>
          </w:p>
        </w:tc>
      </w:tr>
    </w:tbl>
    <w:p>
      <w:pPr>
        <w:spacing w:after="140"/>
      </w:pPr>
    </w:p>
    <w:p>
      <w:pPr>
        <w:spacing w:after="120" w:before="60" w:line="276"/>
        <w:ind w:left="720" w:hanging="720"/>
        <w:jc w:val="both"/>
      </w:pPr>
      <w:r>
        <w:rPr>
          <w:rFonts w:ascii="Calibri" w:cs="Calibri" w:eastAsia="Calibri" w:hAnsi="Calibri"/>
          <w:sz w:val="21"/>
          <w:szCs w:val="21"/>
        </w:rPr>
        <w:t xml:space="preserve">3.2	</w:t>
      </w:r>
      <w:r>
        <w:rPr>
          <w:rFonts w:ascii="Calibri" w:cs="Calibri" w:eastAsia="Calibri" w:hAnsi="Calibri"/>
          <w:i/>
          <w:iCs/>
          <w:sz w:val="21"/>
          <w:szCs w:val="21"/>
        </w:rPr>
        <w:t xml:space="preserve">A VCC requires a regulated fund manager and carries meaningful ongoing cost. It is the right answer for a fund and the wrong answer for an operating business, however investment-like the business sounds.</w:t>
      </w:r>
    </w:p>
    <w:p>
      <w:pPr>
        <w:keepNext/>
        <w:spacing w:after="120" w:before="280"/>
        <w:outlineLvl w:val="0"/>
      </w:pPr>
      <w:r>
        <w:rPr>
          <w:rFonts w:ascii="Calibri" w:cs="Calibri" w:eastAsia="Calibri" w:hAnsi="Calibri"/>
          <w:b/>
          <w:bCs/>
          <w:color w:val="14161B"/>
          <w:sz w:val="22"/>
          <w:szCs w:val="22"/>
        </w:rPr>
        <w:t xml:space="preserve">4. BRANCH OR SUBSIDIARY</w:t>
      </w:r>
    </w:p>
    <w:tbl>
      <w:tblPr>
        <w:tblW w:type="dxa" w:w="9638"/>
        <w:tblBorders>
          <w:top w:val="single" w:color="B9BEC8" w:sz="4"/>
          <w:left w:val="single" w:color="B9BEC8" w:sz="4"/>
          <w:bottom w:val="single" w:color="B9BEC8" w:sz="4"/>
          <w:right w:val="single" w:color="B9BEC8" w:sz="4"/>
          <w:insideH w:val="single" w:color="D3D7DF" w:sz="2"/>
          <w:insideV w:val="single" w:color="D3D7DF" w:sz="2"/>
        </w:tblBorders>
      </w:tblPr>
      <w:tblGrid>
        <w:gridCol w:w="2313"/>
        <w:gridCol w:w="3662"/>
        <w:gridCol w:w="3663"/>
      </w:tblGrid>
      <w:tr>
        <w:trPr>
          <w:tblHeader/>
        </w:trPr>
        <w:tc>
          <w:tcPr>
            <w:tcW w:type="dxa" w:w="2313"/>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Consideration</w:t>
            </w:r>
          </w:p>
        </w:tc>
        <w:tc>
          <w:tcPr>
            <w:tcW w:type="dxa" w:w="3662"/>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Branch</w:t>
            </w:r>
          </w:p>
        </w:tc>
        <w:tc>
          <w:tcPr>
            <w:tcW w:type="dxa" w:w="3663"/>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Subsidiary company</w:t>
            </w:r>
          </w:p>
        </w:tc>
      </w:tr>
      <w:tr>
        <w:tc>
          <w:tcPr>
            <w:tcW w:type="dxa" w:w="2313"/>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Legal status</w:t>
            </w:r>
          </w:p>
        </w:tc>
        <w:tc>
          <w:tcPr>
            <w:tcW w:type="dxa" w:w="3662"/>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Extension of the foreign company</w:t>
            </w:r>
          </w:p>
        </w:tc>
        <w:tc>
          <w:tcPr>
            <w:tcW w:type="dxa" w:w="3663"/>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Separate Singapore company</w:t>
            </w:r>
          </w:p>
        </w:tc>
      </w:tr>
      <w:tr>
        <w:tc>
          <w:tcPr>
            <w:tcW w:type="dxa" w:w="2313"/>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Liability</w:t>
            </w:r>
          </w:p>
        </w:tc>
        <w:tc>
          <w:tcPr>
            <w:tcW w:type="dxa" w:w="3662"/>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Foreign company liable for everything</w:t>
            </w:r>
          </w:p>
        </w:tc>
        <w:tc>
          <w:tcPr>
            <w:tcW w:type="dxa" w:w="3663"/>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Generally ring-fenced to the subsidiary</w:t>
            </w:r>
          </w:p>
        </w:tc>
      </w:tr>
      <w:tr>
        <w:tc>
          <w:tcPr>
            <w:tcW w:type="dxa" w:w="2313"/>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Tax residence</w:t>
            </w:r>
          </w:p>
        </w:tc>
        <w:tc>
          <w:tcPr>
            <w:tcW w:type="dxa" w:w="3662"/>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Generally treated as non-resident</w:t>
            </w:r>
          </w:p>
        </w:tc>
        <w:tc>
          <w:tcPr>
            <w:tcW w:type="dxa" w:w="3663"/>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Generally resident — may access treaty benefits and incentives</w:t>
            </w:r>
          </w:p>
        </w:tc>
      </w:tr>
      <w:tr>
        <w:tc>
          <w:tcPr>
            <w:tcW w:type="dxa" w:w="2313"/>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Start-up incentives</w:t>
            </w:r>
          </w:p>
        </w:tc>
        <w:tc>
          <w:tcPr>
            <w:tcW w:type="dxa" w:w="3662"/>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Generally not available</w:t>
            </w:r>
          </w:p>
        </w:tc>
        <w:tc>
          <w:tcPr>
            <w:tcW w:type="dxa" w:w="3663"/>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[Potentially available]</w:t>
            </w:r>
          </w:p>
        </w:tc>
      </w:tr>
      <w:tr>
        <w:tc>
          <w:tcPr>
            <w:tcW w:type="dxa" w:w="2313"/>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Accounts filing</w:t>
            </w:r>
          </w:p>
        </w:tc>
        <w:tc>
          <w:tcPr>
            <w:tcW w:type="dxa" w:w="3662"/>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Branch accounts </w:t>
            </w:r>
            <w:r>
              <w:rPr>
                <w:rFonts w:ascii="Calibri" w:cs="Calibri" w:eastAsia="Calibri" w:hAnsi="Calibri"/>
                <w:b/>
                <w:bCs/>
                <w:sz w:val="18"/>
                <w:szCs w:val="18"/>
              </w:rPr>
              <w:t xml:space="preserve">and</w:t>
            </w:r>
            <w:r>
              <w:rPr>
                <w:rFonts w:ascii="Calibri" w:cs="Calibri" w:eastAsia="Calibri" w:hAnsi="Calibri"/>
                <w:sz w:val="18"/>
                <w:szCs w:val="18"/>
              </w:rPr>
              <w:t xml:space="preserve"> the foreign company’s accounts</w:t>
            </w:r>
          </w:p>
        </w:tc>
        <w:tc>
          <w:tcPr>
            <w:tcW w:type="dxa" w:w="3663"/>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Singapore accounts only</w:t>
            </w:r>
          </w:p>
        </w:tc>
      </w:tr>
      <w:tr>
        <w:tc>
          <w:tcPr>
            <w:tcW w:type="dxa" w:w="2313"/>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Local requirement</w:t>
            </w:r>
          </w:p>
        </w:tc>
        <w:tc>
          <w:tcPr>
            <w:tcW w:type="dxa" w:w="3662"/>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At least one authorised representative ordinarily resident</w:t>
            </w:r>
          </w:p>
        </w:tc>
        <w:tc>
          <w:tcPr>
            <w:tcW w:type="dxa" w:w="3663"/>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At least one resident director</w:t>
            </w:r>
          </w:p>
        </w:tc>
      </w:tr>
      <w:tr>
        <w:tc>
          <w:tcPr>
            <w:tcW w:type="dxa" w:w="2313"/>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Perception</w:t>
            </w:r>
          </w:p>
        </w:tc>
        <w:tc>
          <w:tcPr>
            <w:tcW w:type="dxa" w:w="3662"/>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Sometimes seen as less committed locally</w:t>
            </w:r>
          </w:p>
        </w:tc>
        <w:tc>
          <w:tcPr>
            <w:tcW w:type="dxa" w:w="3663"/>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Reads as a local presence</w:t>
            </w:r>
          </w:p>
        </w:tc>
      </w:tr>
      <w:tr>
        <w:tc>
          <w:tcPr>
            <w:tcW w:type="dxa" w:w="2313"/>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Winding down</w:t>
            </w:r>
          </w:p>
        </w:tc>
        <w:tc>
          <w:tcPr>
            <w:tcW w:type="dxa" w:w="3662"/>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Deregistration</w:t>
            </w:r>
          </w:p>
        </w:tc>
        <w:tc>
          <w:tcPr>
            <w:tcW w:type="dxa" w:w="3663"/>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Striking off or winding up</w:t>
            </w:r>
          </w:p>
        </w:tc>
      </w:tr>
      <w:tr>
        <w:tc>
          <w:tcPr>
            <w:tcW w:type="dxa" w:w="2313"/>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Suits</w:t>
            </w:r>
          </w:p>
        </w:tc>
        <w:tc>
          <w:tcPr>
            <w:tcW w:type="dxa" w:w="3662"/>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Short-term market entry; regulated activities requiring branch form</w:t>
            </w:r>
          </w:p>
        </w:tc>
        <w:tc>
          <w:tcPr>
            <w:tcW w:type="dxa" w:w="3663"/>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Almost every other case</w:t>
            </w:r>
          </w:p>
        </w:tc>
      </w:tr>
    </w:tbl>
    <w:p>
      <w:pPr>
        <w:spacing w:after="140"/>
      </w:pPr>
    </w:p>
    <w:p>
      <w:pPr>
        <w:spacing w:after="120" w:before="60" w:line="276"/>
        <w:ind w:left="720" w:hanging="720"/>
        <w:jc w:val="both"/>
      </w:pPr>
      <w:r>
        <w:rPr>
          <w:rFonts w:ascii="Calibri" w:cs="Calibri" w:eastAsia="Calibri" w:hAnsi="Calibri"/>
          <w:sz w:val="21"/>
          <w:szCs w:val="21"/>
        </w:rPr>
        <w:t xml:space="preserve">4.1	</w:t>
      </w:r>
      <w:r>
        <w:rPr>
          <w:rFonts w:ascii="Calibri" w:cs="Calibri" w:eastAsia="Calibri" w:hAnsi="Calibri"/>
          <w:i/>
          <w:iCs/>
          <w:sz w:val="21"/>
          <w:szCs w:val="21"/>
        </w:rPr>
        <w:t xml:space="preserve">The filing of the foreign parent’s accounts is the point that changes minds. Groups that do not wish to place the parent’s financial statements on a public register in Singapore choose a subsidiary.</w:t>
      </w:r>
    </w:p>
    <w:p>
      <w:pPr>
        <w:keepNext/>
        <w:spacing w:after="120" w:before="280"/>
        <w:outlineLvl w:val="0"/>
      </w:pPr>
      <w:r>
        <w:rPr>
          <w:rFonts w:ascii="Calibri" w:cs="Calibri" w:eastAsia="Calibri" w:hAnsi="Calibri"/>
          <w:b/>
          <w:bCs/>
          <w:color w:val="14161B"/>
          <w:sz w:val="22"/>
          <w:szCs w:val="22"/>
        </w:rPr>
        <w:t xml:space="preserve">5. REPRESENTATIVE OFFICE</w:t>
      </w:r>
    </w:p>
    <w:p>
      <w:pPr>
        <w:spacing w:after="120" w:before="60" w:line="276"/>
        <w:ind w:left="720" w:hanging="720"/>
        <w:jc w:val="both"/>
      </w:pPr>
      <w:r>
        <w:rPr>
          <w:rFonts w:ascii="Calibri" w:cs="Calibri" w:eastAsia="Calibri" w:hAnsi="Calibri"/>
          <w:sz w:val="21"/>
          <w:szCs w:val="21"/>
        </w:rPr>
        <w:t xml:space="preserve">5.1	</w:t>
      </w:r>
      <w:r>
        <w:rPr>
          <w:rFonts w:ascii="Calibri" w:cs="Calibri" w:eastAsia="Calibri" w:hAnsi="Calibri"/>
          <w:sz w:val="21"/>
          <w:szCs w:val="21"/>
        </w:rPr>
        <w:t xml:space="preserve">A representative office may be established for </w:t>
      </w:r>
      <w:r>
        <w:rPr>
          <w:rFonts w:ascii="Calibri" w:cs="Calibri" w:eastAsia="Calibri" w:hAnsi="Calibri"/>
          <w:b/>
          <w:bCs/>
          <w:sz w:val="21"/>
          <w:szCs w:val="21"/>
        </w:rPr>
        <w:t xml:space="preserve">market research and liaison only</w:t>
      </w:r>
      <w:r>
        <w:rPr>
          <w:rFonts w:ascii="Calibri" w:cs="Calibri" w:eastAsia="Calibri" w:hAnsi="Calibri"/>
          <w:sz w:val="21"/>
          <w:szCs w:val="21"/>
        </w:rPr>
        <w:t xml:space="preserve">. It may not trade, conclude contracts, issue invoices or generate revenue.</w:t>
      </w:r>
    </w:p>
    <w:p>
      <w:pPr>
        <w:spacing w:after="120" w:before="60" w:line="276"/>
        <w:ind w:left="720" w:hanging="720"/>
        <w:jc w:val="both"/>
      </w:pPr>
      <w:r>
        <w:rPr>
          <w:rFonts w:ascii="Calibri" w:cs="Calibri" w:eastAsia="Calibri" w:hAnsi="Calibri"/>
          <w:sz w:val="21"/>
          <w:szCs w:val="21"/>
        </w:rPr>
        <w:t xml:space="preserve">5.2	</w:t>
      </w:r>
      <w:r>
        <w:rPr>
          <w:rFonts w:ascii="Calibri" w:cs="Calibri" w:eastAsia="Calibri" w:hAnsi="Calibri"/>
          <w:sz w:val="21"/>
          <w:szCs w:val="21"/>
        </w:rPr>
        <w:t xml:space="preserve">It is temporary, subject to a maximum period, and must be converted to a company or branch to operate commercially.</w:t>
      </w:r>
    </w:p>
    <w:p>
      <w:pPr>
        <w:spacing w:after="120" w:before="60" w:line="276"/>
        <w:ind w:left="720" w:hanging="720"/>
        <w:jc w:val="both"/>
      </w:pPr>
      <w:r>
        <w:rPr>
          <w:rFonts w:ascii="Calibri" w:cs="Calibri" w:eastAsia="Calibri" w:hAnsi="Calibri"/>
          <w:sz w:val="21"/>
          <w:szCs w:val="21"/>
        </w:rPr>
        <w:t xml:space="preserve">5.3	</w:t>
      </w:r>
      <w:r>
        <w:rPr>
          <w:rFonts w:ascii="Calibri" w:cs="Calibri" w:eastAsia="Calibri" w:hAnsi="Calibri"/>
          <w:sz w:val="21"/>
          <w:szCs w:val="21"/>
        </w:rPr>
        <w:t xml:space="preserve">Staffing is limited and the office is run by a representative from the foreign head office.</w:t>
      </w:r>
    </w:p>
    <w:p>
      <w:pPr>
        <w:spacing w:after="120" w:before="60" w:line="276"/>
        <w:ind w:left="720" w:hanging="720"/>
        <w:jc w:val="both"/>
      </w:pPr>
      <w:r>
        <w:rPr>
          <w:rFonts w:ascii="Calibri" w:cs="Calibri" w:eastAsia="Calibri" w:hAnsi="Calibri"/>
          <w:sz w:val="21"/>
          <w:szCs w:val="21"/>
        </w:rPr>
        <w:t xml:space="preserve">5.4	</w:t>
      </w:r>
      <w:r>
        <w:rPr>
          <w:rFonts w:ascii="Calibri" w:cs="Calibri" w:eastAsia="Calibri" w:hAnsi="Calibri"/>
          <w:i/>
          <w:iCs/>
          <w:sz w:val="21"/>
          <w:szCs w:val="21"/>
        </w:rPr>
        <w:t xml:space="preserve">Useful for genuine market assessment. Employers using one to conduct actual business are operating outside its terms, and it is easily discovered.</w:t>
      </w:r>
    </w:p>
    <w:p>
      <w:pPr>
        <w:keepNext/>
        <w:spacing w:after="120" w:before="280"/>
        <w:outlineLvl w:val="0"/>
      </w:pPr>
      <w:r>
        <w:rPr>
          <w:rFonts w:ascii="Calibri" w:cs="Calibri" w:eastAsia="Calibri" w:hAnsi="Calibri"/>
          <w:b/>
          <w:bCs/>
          <w:color w:val="14161B"/>
          <w:sz w:val="22"/>
          <w:szCs w:val="22"/>
        </w:rPr>
        <w:t xml:space="preserve">6. DECISION RECORD</w:t>
      </w:r>
    </w:p>
    <w:tbl>
      <w:tblPr>
        <w:tblW w:type="dxa" w:w="9638"/>
        <w:tblBorders>
          <w:top w:val="single" w:color="B9BEC8" w:sz="4"/>
          <w:left w:val="single" w:color="B9BEC8" w:sz="4"/>
          <w:bottom w:val="single" w:color="B9BEC8" w:sz="4"/>
          <w:right w:val="single" w:color="B9BEC8" w:sz="4"/>
          <w:insideH w:val="single" w:color="D3D7DF" w:sz="2"/>
          <w:insideV w:val="single" w:color="D3D7DF" w:sz="2"/>
        </w:tblBorders>
      </w:tblPr>
      <w:tblGrid>
        <w:gridCol w:w="385"/>
        <w:gridCol w:w="4433"/>
        <w:gridCol w:w="1542"/>
        <w:gridCol w:w="3278"/>
      </w:tblGrid>
      <w:tr>
        <w:trPr>
          <w:tblHeader/>
        </w:trPr>
        <w:tc>
          <w:tcPr>
            <w:tcW w:type="dxa" w:w="385"/>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w:t>
            </w:r>
          </w:p>
        </w:tc>
        <w:tc>
          <w:tcPr>
            <w:tcW w:type="dxa" w:w="4433"/>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Question</w:t>
            </w:r>
          </w:p>
        </w:tc>
        <w:tc>
          <w:tcPr>
            <w:tcW w:type="dxa" w:w="1542"/>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Answer</w:t>
            </w:r>
          </w:p>
        </w:tc>
        <w:tc>
          <w:tcPr>
            <w:tcW w:type="dxa" w:w="3278"/>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Points to</w:t>
            </w:r>
          </w:p>
        </w:tc>
      </w:tr>
      <w:tr>
        <w:tc>
          <w:tcPr>
            <w:tcW w:type="dxa" w:w="385"/>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1</w:t>
            </w:r>
          </w:p>
        </w:tc>
        <w:tc>
          <w:tcPr>
            <w:tcW w:type="dxa" w:w="4433"/>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Do the owners need protection from business liabilities?</w:t>
            </w:r>
          </w:p>
        </w:tc>
        <w:tc>
          <w:tcPr>
            <w:tcW w:type="dxa" w:w="1542"/>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[Y/N]</w:t>
            </w:r>
          </w:p>
        </w:tc>
        <w:tc>
          <w:tcPr>
            <w:tcW w:type="dxa" w:w="3278"/>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Company, LLP or LP</w:t>
            </w:r>
          </w:p>
        </w:tc>
      </w:tr>
      <w:tr>
        <w:tc>
          <w:tcPr>
            <w:tcW w:type="dxa" w:w="385"/>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2</w:t>
            </w:r>
          </w:p>
        </w:tc>
        <w:tc>
          <w:tcPr>
            <w:tcW w:type="dxa" w:w="4433"/>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Will external equity investment be sought, now or later?</w:t>
            </w:r>
          </w:p>
        </w:tc>
        <w:tc>
          <w:tcPr>
            <w:tcW w:type="dxa" w:w="1542"/>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[Y/N]</w:t>
            </w:r>
          </w:p>
        </w:tc>
        <w:tc>
          <w:tcPr>
            <w:tcW w:type="dxa" w:w="3278"/>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Company</w:t>
            </w:r>
          </w:p>
        </w:tc>
      </w:tr>
      <w:tr>
        <w:tc>
          <w:tcPr>
            <w:tcW w:type="dxa" w:w="385"/>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3</w:t>
            </w:r>
          </w:p>
        </w:tc>
        <w:tc>
          <w:tcPr>
            <w:tcW w:type="dxa" w:w="4433"/>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Are there co-founders?</w:t>
            </w:r>
          </w:p>
        </w:tc>
        <w:tc>
          <w:tcPr>
            <w:tcW w:type="dxa" w:w="1542"/>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[Y/N]</w:t>
            </w:r>
          </w:p>
        </w:tc>
        <w:tc>
          <w:tcPr>
            <w:tcW w:type="dxa" w:w="3278"/>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Company with vesting, or LLP with an agreement</w:t>
            </w:r>
          </w:p>
        </w:tc>
      </w:tr>
      <w:tr>
        <w:tc>
          <w:tcPr>
            <w:tcW w:type="dxa" w:w="385"/>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4</w:t>
            </w:r>
          </w:p>
        </w:tc>
        <w:tc>
          <w:tcPr>
            <w:tcW w:type="dxa" w:w="4433"/>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Is the business a professional practice?</w:t>
            </w:r>
          </w:p>
        </w:tc>
        <w:tc>
          <w:tcPr>
            <w:tcW w:type="dxa" w:w="1542"/>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[Y/N]</w:t>
            </w:r>
          </w:p>
        </w:tc>
        <w:tc>
          <w:tcPr>
            <w:tcW w:type="dxa" w:w="3278"/>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LLP often suits</w:t>
            </w:r>
          </w:p>
        </w:tc>
      </w:tr>
      <w:tr>
        <w:tc>
          <w:tcPr>
            <w:tcW w:type="dxa" w:w="385"/>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5</w:t>
            </w:r>
          </w:p>
        </w:tc>
        <w:tc>
          <w:tcPr>
            <w:tcW w:type="dxa" w:w="4433"/>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Is the entity an investment fund?</w:t>
            </w:r>
          </w:p>
        </w:tc>
        <w:tc>
          <w:tcPr>
            <w:tcW w:type="dxa" w:w="1542"/>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[Y/N]</w:t>
            </w:r>
          </w:p>
        </w:tc>
        <w:tc>
          <w:tcPr>
            <w:tcW w:type="dxa" w:w="3278"/>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VCC</w:t>
            </w:r>
            <w:r>
              <w:rPr>
                <w:rFonts w:ascii="Calibri" w:cs="Calibri" w:eastAsia="Calibri" w:hAnsi="Calibri"/>
                <w:sz w:val="17"/>
                <w:szCs w:val="17"/>
              </w:rPr>
              <w:t xml:space="preserve">, with a regulated manager</w:t>
            </w:r>
          </w:p>
        </w:tc>
      </w:tr>
      <w:tr>
        <w:tc>
          <w:tcPr>
            <w:tcW w:type="dxa" w:w="385"/>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6</w:t>
            </w:r>
          </w:p>
        </w:tc>
        <w:tc>
          <w:tcPr>
            <w:tcW w:type="dxa" w:w="4433"/>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Is there an existing foreign company behind this?</w:t>
            </w:r>
          </w:p>
        </w:tc>
        <w:tc>
          <w:tcPr>
            <w:tcW w:type="dxa" w:w="1542"/>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[Y/N]</w:t>
            </w:r>
          </w:p>
        </w:tc>
        <w:tc>
          <w:tcPr>
            <w:tcW w:type="dxa" w:w="3278"/>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Subsidiary or branch — see Section 4</w:t>
            </w:r>
          </w:p>
        </w:tc>
      </w:tr>
      <w:tr>
        <w:tc>
          <w:tcPr>
            <w:tcW w:type="dxa" w:w="385"/>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7</w:t>
            </w:r>
          </w:p>
        </w:tc>
        <w:tc>
          <w:tcPr>
            <w:tcW w:type="dxa" w:w="4433"/>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Is the activity licensed or regulated?</w:t>
            </w:r>
          </w:p>
        </w:tc>
        <w:tc>
          <w:tcPr>
            <w:tcW w:type="dxa" w:w="1542"/>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[Y/N]</w:t>
            </w:r>
          </w:p>
        </w:tc>
        <w:tc>
          <w:tcPr>
            <w:tcW w:type="dxa" w:w="3278"/>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Check what entity form the licence requires</w:t>
            </w:r>
          </w:p>
        </w:tc>
      </w:tr>
      <w:tr>
        <w:tc>
          <w:tcPr>
            <w:tcW w:type="dxa" w:w="385"/>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8</w:t>
            </w:r>
          </w:p>
        </w:tc>
        <w:tc>
          <w:tcPr>
            <w:tcW w:type="dxa" w:w="4433"/>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Will there be employees?</w:t>
            </w:r>
          </w:p>
        </w:tc>
        <w:tc>
          <w:tcPr>
            <w:tcW w:type="dxa" w:w="1542"/>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[Y/N]</w:t>
            </w:r>
          </w:p>
        </w:tc>
        <w:tc>
          <w:tcPr>
            <w:tcW w:type="dxa" w:w="3278"/>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CPF, KETs, payslips and insurance apply regardless of form</w:t>
            </w:r>
          </w:p>
        </w:tc>
      </w:tr>
      <w:tr>
        <w:tc>
          <w:tcPr>
            <w:tcW w:type="dxa" w:w="385"/>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9</w:t>
            </w:r>
          </w:p>
        </w:tc>
        <w:tc>
          <w:tcPr>
            <w:tcW w:type="dxa" w:w="4433"/>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Will foreign staff be hired?</w:t>
            </w:r>
          </w:p>
        </w:tc>
        <w:tc>
          <w:tcPr>
            <w:tcW w:type="dxa" w:w="1542"/>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[Y/N]</w:t>
            </w:r>
          </w:p>
        </w:tc>
        <w:tc>
          <w:tcPr>
            <w:tcW w:type="dxa" w:w="3278"/>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Work pass eligibility varies by entity type and track record</w:t>
            </w:r>
          </w:p>
        </w:tc>
      </w:tr>
      <w:tr>
        <w:tc>
          <w:tcPr>
            <w:tcW w:type="dxa" w:w="385"/>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10</w:t>
            </w:r>
          </w:p>
        </w:tc>
        <w:tc>
          <w:tcPr>
            <w:tcW w:type="dxa" w:w="4433"/>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Does the group need Singapore tax residence?</w:t>
            </w:r>
          </w:p>
        </w:tc>
        <w:tc>
          <w:tcPr>
            <w:tcW w:type="dxa" w:w="1542"/>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[Y/N]</w:t>
            </w:r>
          </w:p>
        </w:tc>
        <w:tc>
          <w:tcPr>
            <w:tcW w:type="dxa" w:w="3278"/>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Company, not branch</w:t>
            </w:r>
          </w:p>
        </w:tc>
      </w:tr>
      <w:tr>
        <w:tc>
          <w:tcPr>
            <w:tcW w:type="dxa" w:w="385"/>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11</w:t>
            </w:r>
          </w:p>
        </w:tc>
        <w:tc>
          <w:tcPr>
            <w:tcW w:type="dxa" w:w="4433"/>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Is anonymity of ownership a factor?</w:t>
            </w:r>
          </w:p>
        </w:tc>
        <w:tc>
          <w:tcPr>
            <w:tcW w:type="dxa" w:w="1542"/>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[Y/N]</w:t>
            </w:r>
          </w:p>
        </w:tc>
        <w:tc>
          <w:tcPr>
            <w:tcW w:type="dxa" w:w="3278"/>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Note that controller registers apply to all forms</w:t>
            </w:r>
          </w:p>
        </w:tc>
      </w:tr>
      <w:tr>
        <w:tc>
          <w:tcPr>
            <w:tcW w:type="dxa" w:w="385"/>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12</w:t>
            </w:r>
          </w:p>
        </w:tc>
        <w:tc>
          <w:tcPr>
            <w:tcW w:type="dxa" w:w="4433"/>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What is the realistic cost of annual compliance for each option?</w:t>
            </w:r>
          </w:p>
        </w:tc>
        <w:tc>
          <w:tcPr>
            <w:tcW w:type="dxa" w:w="1542"/>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[DETAIL]</w:t>
            </w:r>
          </w:p>
        </w:tc>
        <w:tc>
          <w:tcPr>
            <w:tcW w:type="dxa" w:w="3278"/>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Model it before deciding on cost grounds</w:t>
            </w:r>
          </w:p>
        </w:tc>
      </w:tr>
    </w:tbl>
    <w:p>
      <w:pPr>
        <w:spacing w:after="160"/>
      </w:pPr>
    </w:p>
    <w:p>
      <w:pPr>
        <w:keepNext/>
        <w:pageBreakBefore/>
        <w:spacing w:after="60" w:before="0"/>
      </w:pPr>
      <w:r>
        <w:rPr>
          <w:rFonts w:ascii="Calibri" w:cs="Calibri" w:eastAsia="Calibri" w:hAnsi="Calibri"/>
          <w:b/>
          <w:bCs/>
          <w:color w:val="14161B"/>
          <w:sz w:val="22"/>
          <w:szCs w:val="22"/>
        </w:rPr>
        <w:t xml:space="preserve">NOTES FOR USE</w:t>
      </w:r>
    </w:p>
    <w:p>
      <w:pPr>
        <w:pBdr>
          <w:bottom w:val="single" w:color="C9CCD3" w:sz="6" w:space="4"/>
        </w:pBdr>
        <w:spacing w:after="200"/>
      </w:pPr>
      <w:r>
        <w:rPr>
          <w:rFonts w:ascii="Calibri" w:cs="Calibri" w:eastAsia="Calibri" w:hAnsi="Calibri"/>
          <w:i/>
          <w:iCs/>
          <w:color w:val="6E7480"/>
          <w:sz w:val="17"/>
          <w:szCs w:val="17"/>
        </w:rPr>
        <w:t xml:space="preserve">Delete this page before execution. It is guidance, not part of the agreement.</w:t>
      </w:r>
    </w:p>
    <w:p>
      <w:pPr>
        <w:keepNext/>
        <w:spacing w:after="40" w:before="140"/>
      </w:pPr>
      <w:r>
        <w:rPr>
          <w:rFonts w:ascii="Calibri" w:cs="Calibri" w:eastAsia="Calibri" w:hAnsi="Calibri"/>
          <w:b/>
          <w:bCs/>
          <w:color w:val="14161B"/>
          <w:sz w:val="20"/>
          <w:szCs w:val="20"/>
        </w:rPr>
        <w:t xml:space="preserve">The private limited company is the default for a reason</w:t>
      </w:r>
    </w:p>
    <w:p>
      <w:pPr>
        <w:spacing w:after="60" w:line="264"/>
        <w:jc w:val="both"/>
      </w:pPr>
      <w:r>
        <w:rPr>
          <w:rFonts w:ascii="Calibri" w:cs="Calibri" w:eastAsia="Calibri" w:hAnsi="Calibri"/>
          <w:sz w:val="19"/>
          <w:szCs w:val="19"/>
        </w:rPr>
        <w:t xml:space="preserve">Limited liability, perpetual succession, a familiar share structure investors understand, access to corporate tax treatment and incentives, and an established route to an exit. Unless there is a specific reason to choose otherwise, this is the answer for a trading business.</w:t>
      </w:r>
    </w:p>
    <w:p>
      <w:pPr>
        <w:keepNext/>
        <w:spacing w:after="40" w:before="140"/>
      </w:pPr>
      <w:r>
        <w:rPr>
          <w:rFonts w:ascii="Calibri" w:cs="Calibri" w:eastAsia="Calibri" w:hAnsi="Calibri"/>
          <w:b/>
          <w:bCs/>
          <w:color w:val="14161B"/>
          <w:sz w:val="20"/>
          <w:szCs w:val="20"/>
        </w:rPr>
        <w:t xml:space="preserve">If equity funding is even possible, incorporate a company</w:t>
      </w:r>
    </w:p>
    <w:p>
      <w:pPr>
        <w:spacing w:after="60" w:line="264"/>
        <w:jc w:val="both"/>
      </w:pPr>
      <w:r>
        <w:rPr>
          <w:rFonts w:ascii="Calibri" w:cs="Calibri" w:eastAsia="Calibri" w:hAnsi="Calibri"/>
          <w:sz w:val="19"/>
          <w:szCs w:val="19"/>
        </w:rPr>
        <w:t xml:space="preserve">Investors buy shares. They expect classes, preferences, option pools, drag and tag provisions and a familiar exit mechanism. An LLP offers none of these naturally. Converting later means transferring the business, with tax, contractual, licensing and employment consequences — always at the worst moment.</w:t>
      </w:r>
    </w:p>
    <w:p>
      <w:pPr>
        <w:keepNext/>
        <w:spacing w:after="40" w:before="140"/>
      </w:pPr>
      <w:r>
        <w:rPr>
          <w:rFonts w:ascii="Calibri" w:cs="Calibri" w:eastAsia="Calibri" w:hAnsi="Calibri"/>
          <w:b/>
          <w:bCs/>
          <w:color w:val="14161B"/>
          <w:sz w:val="20"/>
          <w:szCs w:val="20"/>
        </w:rPr>
        <w:t xml:space="preserve">Transparency cuts both ways</w:t>
      </w:r>
    </w:p>
    <w:p>
      <w:pPr>
        <w:spacing w:after="60" w:line="264"/>
        <w:jc w:val="both"/>
      </w:pPr>
      <w:r>
        <w:rPr>
          <w:rFonts w:ascii="Calibri" w:cs="Calibri" w:eastAsia="Calibri" w:hAnsi="Calibri"/>
          <w:sz w:val="19"/>
          <w:szCs w:val="19"/>
        </w:rPr>
        <w:t xml:space="preserve">An LLP’s partners are taxed individually whether or not profits are distributed, so a partner who leaves money in the business is still taxed on it. That suits a practice distributing everything and suits a business retaining earnings for growth very poorly.</w:t>
      </w:r>
    </w:p>
    <w:p>
      <w:pPr>
        <w:keepNext/>
        <w:spacing w:after="40" w:before="140"/>
      </w:pPr>
      <w:r>
        <w:rPr>
          <w:rFonts w:ascii="Calibri" w:cs="Calibri" w:eastAsia="Calibri" w:hAnsi="Calibri"/>
          <w:b/>
          <w:bCs/>
          <w:color w:val="14161B"/>
          <w:sz w:val="20"/>
          <w:szCs w:val="20"/>
        </w:rPr>
        <w:t xml:space="preserve">Loss relief in an LLP is restricted</w:t>
      </w:r>
    </w:p>
    <w:p>
      <w:pPr>
        <w:spacing w:after="60" w:line="264"/>
        <w:jc w:val="both"/>
      </w:pPr>
      <w:r>
        <w:rPr>
          <w:rFonts w:ascii="Calibri" w:cs="Calibri" w:eastAsia="Calibri" w:hAnsi="Calibri"/>
          <w:sz w:val="19"/>
          <w:szCs w:val="19"/>
        </w:rPr>
        <w:t xml:space="preserve">Relief for a partner’s share of LLP losses is subject to restrictions including limits referable to contributed capital. Structures built on an assumption that losses flow through freely to offset other income frequently do not work as intended. Take advice first.</w:t>
      </w:r>
    </w:p>
    <w:p>
      <w:pPr>
        <w:keepNext/>
        <w:spacing w:after="40" w:before="140"/>
      </w:pPr>
      <w:r>
        <w:rPr>
          <w:rFonts w:ascii="Calibri" w:cs="Calibri" w:eastAsia="Calibri" w:hAnsi="Calibri"/>
          <w:b/>
          <w:bCs/>
          <w:color w:val="14161B"/>
          <w:sz w:val="20"/>
          <w:szCs w:val="20"/>
        </w:rPr>
        <w:t xml:space="preserve">Sole proprietorship and general partnership mean unlimited personal liability</w:t>
      </w:r>
    </w:p>
    <w:p>
      <w:pPr>
        <w:spacing w:after="60" w:line="264"/>
        <w:jc w:val="both"/>
      </w:pPr>
      <w:r>
        <w:rPr>
          <w:rFonts w:ascii="Calibri" w:cs="Calibri" w:eastAsia="Calibri" w:hAnsi="Calibri"/>
          <w:sz w:val="19"/>
          <w:szCs w:val="19"/>
        </w:rPr>
        <w:t xml:space="preserve">The owner’s personal assets — home, savings — are exposed to business debts and claims without limit. The saving in compliance cost is real but small; the exposure is not. For anything with employees, premises, customers or contracts, this is rarely the right trade.</w:t>
      </w:r>
    </w:p>
    <w:p>
      <w:pPr>
        <w:keepNext/>
        <w:spacing w:after="40" w:before="140"/>
      </w:pPr>
      <w:r>
        <w:rPr>
          <w:rFonts w:ascii="Calibri" w:cs="Calibri" w:eastAsia="Calibri" w:hAnsi="Calibri"/>
          <w:b/>
          <w:bCs/>
          <w:color w:val="14161B"/>
          <w:sz w:val="20"/>
          <w:szCs w:val="20"/>
        </w:rPr>
        <w:t xml:space="preserve">Limited partners lose protection if they manage</w:t>
      </w:r>
    </w:p>
    <w:p>
      <w:pPr>
        <w:spacing w:after="60" w:line="264"/>
        <w:jc w:val="both"/>
      </w:pPr>
      <w:r>
        <w:rPr>
          <w:rFonts w:ascii="Calibri" w:cs="Calibri" w:eastAsia="Calibri" w:hAnsi="Calibri"/>
          <w:sz w:val="19"/>
          <w:szCs w:val="19"/>
        </w:rPr>
        <w:t xml:space="preserve">In a limited partnership, a limited partner who participates in management can lose their limited liability. Passive investors must stay passive. This is the trap in what otherwise looks like a flexible fund-style structure.</w:t>
      </w:r>
    </w:p>
    <w:p>
      <w:pPr>
        <w:keepNext/>
        <w:spacing w:after="40" w:before="140"/>
      </w:pPr>
      <w:r>
        <w:rPr>
          <w:rFonts w:ascii="Calibri" w:cs="Calibri" w:eastAsia="Calibri" w:hAnsi="Calibri"/>
          <w:b/>
          <w:bCs/>
          <w:color w:val="14161B"/>
          <w:sz w:val="20"/>
          <w:szCs w:val="20"/>
        </w:rPr>
        <w:t xml:space="preserve">The VCC is for funds, not operating businesses</w:t>
      </w:r>
    </w:p>
    <w:p>
      <w:pPr>
        <w:spacing w:after="60" w:line="264"/>
        <w:jc w:val="both"/>
      </w:pPr>
      <w:r>
        <w:rPr>
          <w:rFonts w:ascii="Calibri" w:cs="Calibri" w:eastAsia="Calibri" w:hAnsi="Calibri"/>
          <w:sz w:val="19"/>
          <w:szCs w:val="19"/>
        </w:rPr>
        <w:t xml:space="preserve">It requires a permissible fund manager — a regulated entity — mandatory audit with no small company exemption, and directors connected to the manager. The segregated sub-fund feature is genuinely valuable for a multi-strategy fund and irrelevant to a trading company.</w:t>
      </w:r>
    </w:p>
    <w:p>
      <w:pPr>
        <w:keepNext/>
        <w:spacing w:after="40" w:before="140"/>
      </w:pPr>
      <w:r>
        <w:rPr>
          <w:rFonts w:ascii="Calibri" w:cs="Calibri" w:eastAsia="Calibri" w:hAnsi="Calibri"/>
          <w:b/>
          <w:bCs/>
          <w:color w:val="14161B"/>
          <w:sz w:val="20"/>
          <w:szCs w:val="20"/>
        </w:rPr>
        <w:t xml:space="preserve">A branch exposes the parent and files its accounts</w:t>
      </w:r>
    </w:p>
    <w:p>
      <w:pPr>
        <w:spacing w:after="60" w:line="264"/>
        <w:jc w:val="both"/>
      </w:pPr>
      <w:r>
        <w:rPr>
          <w:rFonts w:ascii="Calibri" w:cs="Calibri" w:eastAsia="Calibri" w:hAnsi="Calibri"/>
          <w:sz w:val="19"/>
          <w:szCs w:val="19"/>
        </w:rPr>
        <w:t xml:space="preserve">The branch is not a separate entity, so the foreign company is liable for everything it does. It must also file the foreign company’s own financial statements. For most groups this second point settles the question in favour of a subsidiary.</w:t>
      </w:r>
    </w:p>
    <w:p>
      <w:pPr>
        <w:keepNext/>
        <w:spacing w:after="40" w:before="140"/>
      </w:pPr>
      <w:r>
        <w:rPr>
          <w:rFonts w:ascii="Calibri" w:cs="Calibri" w:eastAsia="Calibri" w:hAnsi="Calibri"/>
          <w:b/>
          <w:bCs/>
          <w:color w:val="14161B"/>
          <w:sz w:val="20"/>
          <w:szCs w:val="20"/>
        </w:rPr>
        <w:t xml:space="preserve">Tax residence usually favours a subsidiary</w:t>
      </w:r>
    </w:p>
    <w:p>
      <w:pPr>
        <w:spacing w:after="60" w:line="264"/>
        <w:jc w:val="both"/>
      </w:pPr>
      <w:r>
        <w:rPr>
          <w:rFonts w:ascii="Calibri" w:cs="Calibri" w:eastAsia="Calibri" w:hAnsi="Calibri"/>
          <w:sz w:val="19"/>
          <w:szCs w:val="19"/>
        </w:rPr>
        <w:t xml:space="preserve">A branch is generally treated as non-resident, which affects access to treaty benefits and to incentives. Where the group wants Singapore tax residence, a subsidiary is the route. Take tax advice specific to the group’s circumstances rather than generalising.</w:t>
      </w:r>
    </w:p>
    <w:p>
      <w:pPr>
        <w:keepNext/>
        <w:spacing w:after="40" w:before="140"/>
      </w:pPr>
      <w:r>
        <w:rPr>
          <w:rFonts w:ascii="Calibri" w:cs="Calibri" w:eastAsia="Calibri" w:hAnsi="Calibri"/>
          <w:b/>
          <w:bCs/>
          <w:color w:val="14161B"/>
          <w:sz w:val="20"/>
          <w:szCs w:val="20"/>
        </w:rPr>
        <w:t xml:space="preserve">Representative offices cannot trade</w:t>
      </w:r>
    </w:p>
    <w:p>
      <w:pPr>
        <w:spacing w:after="60" w:line="264"/>
        <w:jc w:val="both"/>
      </w:pPr>
      <w:r>
        <w:rPr>
          <w:rFonts w:ascii="Calibri" w:cs="Calibri" w:eastAsia="Calibri" w:hAnsi="Calibri"/>
          <w:sz w:val="19"/>
          <w:szCs w:val="19"/>
        </w:rPr>
        <w:t xml:space="preserve">They exist for market research and liaison, are time-limited, and may not conclude contracts or invoice. Using one to do actual business is outside its terms and easily discovered. It is a legitimate tool for a genuine assessment period and nothing more.</w:t>
      </w:r>
    </w:p>
    <w:p>
      <w:pPr>
        <w:keepNext/>
        <w:spacing w:after="40" w:before="140"/>
      </w:pPr>
      <w:r>
        <w:rPr>
          <w:rFonts w:ascii="Calibri" w:cs="Calibri" w:eastAsia="Calibri" w:hAnsi="Calibri"/>
          <w:b/>
          <w:bCs/>
          <w:color w:val="14161B"/>
          <w:sz w:val="20"/>
          <w:szCs w:val="20"/>
        </w:rPr>
        <w:t xml:space="preserve">Local presence is required in every form</w:t>
      </w:r>
    </w:p>
    <w:p>
      <w:pPr>
        <w:spacing w:after="60" w:line="264"/>
        <w:jc w:val="both"/>
      </w:pPr>
      <w:r>
        <w:rPr>
          <w:rFonts w:ascii="Calibri" w:cs="Calibri" w:eastAsia="Calibri" w:hAnsi="Calibri"/>
          <w:sz w:val="19"/>
          <w:szCs w:val="19"/>
        </w:rPr>
        <w:t xml:space="preserve">A resident director for a company, a resident manager for an LLP, an authorised representative for a branch. Foreign-owned businesses cannot avoid this, and where a nominee is used, note that appointments made by way of business must go through an ACRA-registered corporate service provider.</w:t>
      </w:r>
    </w:p>
    <w:p>
      <w:pPr>
        <w:keepNext/>
        <w:spacing w:after="40" w:before="140"/>
      </w:pPr>
      <w:r>
        <w:rPr>
          <w:rFonts w:ascii="Calibri" w:cs="Calibri" w:eastAsia="Calibri" w:hAnsi="Calibri"/>
          <w:b/>
          <w:bCs/>
          <w:color w:val="14161B"/>
          <w:sz w:val="20"/>
          <w:szCs w:val="20"/>
        </w:rPr>
        <w:t xml:space="preserve">Controller registers apply across forms</w:t>
      </w:r>
    </w:p>
    <w:p>
      <w:pPr>
        <w:spacing w:after="60" w:line="264"/>
        <w:jc w:val="both"/>
      </w:pPr>
      <w:r>
        <w:rPr>
          <w:rFonts w:ascii="Calibri" w:cs="Calibri" w:eastAsia="Calibri" w:hAnsi="Calibri"/>
          <w:sz w:val="19"/>
          <w:szCs w:val="19"/>
        </w:rPr>
        <w:t xml:space="preserve">Registrable controller obligations, central filing and annual verification notices apply to companies and LLPs alike. Choosing an LLP does not reduce beneficial ownership transparency obligations.</w:t>
      </w:r>
    </w:p>
    <w:p>
      <w:pPr>
        <w:keepNext/>
        <w:spacing w:after="40" w:before="140"/>
      </w:pPr>
      <w:r>
        <w:rPr>
          <w:rFonts w:ascii="Calibri" w:cs="Calibri" w:eastAsia="Calibri" w:hAnsi="Calibri"/>
          <w:b/>
          <w:bCs/>
          <w:color w:val="14161B"/>
          <w:sz w:val="20"/>
          <w:szCs w:val="20"/>
        </w:rPr>
        <w:t xml:space="preserve">Check the licence before choosing the form</w:t>
      </w:r>
    </w:p>
    <w:p>
      <w:pPr>
        <w:spacing w:after="60" w:line="264"/>
        <w:jc w:val="both"/>
      </w:pPr>
      <w:r>
        <w:rPr>
          <w:rFonts w:ascii="Calibri" w:cs="Calibri" w:eastAsia="Calibri" w:hAnsi="Calibri"/>
          <w:sz w:val="19"/>
          <w:szCs w:val="19"/>
        </w:rPr>
        <w:t xml:space="preserve">Regulated activities frequently prescribe or restrict the entity form, and some require specific ownership or capital arrangements. Establish the licensing position before incorporating, not after — restructuring a licensed entity is materially harder.</w:t>
      </w:r>
    </w:p>
    <w:p>
      <w:pPr>
        <w:keepNext/>
        <w:spacing w:after="40" w:before="140"/>
      </w:pPr>
      <w:r>
        <w:rPr>
          <w:rFonts w:ascii="Calibri" w:cs="Calibri" w:eastAsia="Calibri" w:hAnsi="Calibri"/>
          <w:b/>
          <w:bCs/>
          <w:color w:val="14161B"/>
          <w:sz w:val="20"/>
          <w:szCs w:val="20"/>
        </w:rPr>
        <w:t xml:space="preserve">Employment obligations are form-neutral</w:t>
      </w:r>
    </w:p>
    <w:p>
      <w:pPr>
        <w:spacing w:after="60" w:line="264"/>
        <w:jc w:val="both"/>
      </w:pPr>
      <w:r>
        <w:rPr>
          <w:rFonts w:ascii="Calibri" w:cs="Calibri" w:eastAsia="Calibri" w:hAnsi="Calibri"/>
          <w:sz w:val="19"/>
          <w:szCs w:val="19"/>
        </w:rPr>
        <w:t xml:space="preserve">Written key employment terms, itemised payslips, CPF for citizens and permanent residents, work injury insurance and work pass obligations apply to any employer, however small and whatever the structure. The choice of vehicle does not reduce them.</w:t>
      </w:r>
    </w:p>
    <w:p>
      <w:pPr>
        <w:keepNext/>
        <w:spacing w:after="40" w:before="140"/>
      </w:pPr>
      <w:r>
        <w:rPr>
          <w:rFonts w:ascii="Calibri" w:cs="Calibri" w:eastAsia="Calibri" w:hAnsi="Calibri"/>
          <w:b/>
          <w:bCs/>
          <w:color w:val="14161B"/>
          <w:sz w:val="20"/>
          <w:szCs w:val="20"/>
        </w:rPr>
        <w:t xml:space="preserve">Current as of</w:t>
      </w:r>
    </w:p>
    <w:p>
      <w:pPr>
        <w:spacing w:after="60" w:line="264"/>
        <w:jc w:val="both"/>
      </w:pPr>
      <w:r>
        <w:rPr>
          <w:rFonts w:ascii="Calibri" w:cs="Calibri" w:eastAsia="Calibri" w:hAnsi="Calibri"/>
          <w:sz w:val="19"/>
          <w:szCs w:val="19"/>
        </w:rPr>
        <w:t xml:space="preserve">Reflects Singapore law current as of </w:t>
      </w:r>
      <w:r>
        <w:rPr>
          <w:rFonts w:ascii="Calibri" w:cs="Calibri" w:eastAsia="Calibri" w:hAnsi="Calibri"/>
          <w:b/>
          <w:bCs/>
          <w:sz w:val="19"/>
          <w:szCs w:val="19"/>
        </w:rPr>
        <w:t xml:space="preserve">[DATE OF USE]</w:t>
      </w:r>
      <w:r>
        <w:rPr>
          <w:rFonts w:ascii="Calibri" w:cs="Calibri" w:eastAsia="Calibri" w:hAnsi="Calibri"/>
          <w:sz w:val="19"/>
          <w:szCs w:val="19"/>
        </w:rPr>
        <w:t xml:space="preserve">. Requirements under the Companies Act 1967, the Limited Liability Partnerships Act 2005, the VCC framework and the branch and representative office regimes all change, as do tax rates and incentive conditions — take legal and tax advice on the structure before incorporating, particularly for a fund, a regulated activity or a cross-border group.</w:t>
      </w:r>
    </w:p>
    <w:sectPr>
      <w:footerReference w:type="default" r:id="rId13"/>
      <w:footerReference w:type="first" r:id="rId14"/>
      <w:pgSz w:w="11906" w:h="16838" w:orient="portrait"/>
      <w:pgMar w:top="1080" w:right="1134" w:bottom="1080" w:left="1134" w:header="708" w:footer="708" w:gutter="0"/>
      <w:pgNumType/>
      <w:titlePg w:val="fals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pBdr>
        <w:top w:val="single" w:color="C9CCD3" w:sz="6" w:space="6"/>
      </w:pBdr>
      <w:tabs>
        <w:tab w:val="right" w:pos="9638"/>
      </w:tabs>
      <w:spacing w:before="60"/>
    </w:pPr>
    <w:r>
      <w:rPr>
        <w:rFonts w:ascii="Calibri" w:cs="Calibri" w:eastAsia="Calibri" w:hAnsi="Calibri"/>
        <w:color w:val="6E7480"/>
        <w:sz w:val="17"/>
        <w:szCs w:val="17"/>
      </w:rPr>
      <w:t xml:space="preserve">Generated from www.helionerp.com	</w:t>
    </w:r>
    <w:r>
      <w:rPr>
        <w:rFonts w:ascii="Calibri" w:cs="Calibri" w:eastAsia="Calibri" w:hAnsi="Calibri"/>
        <w:color w:val="6E7480"/>
        <w:sz w:val="17"/>
        <w:szCs w:val="17"/>
      </w:rPr>
      <w:t xml:space="preserve">Page </w:t>
      <w:fldChar w:fldCharType="begin"/>
      <w:instrText xml:space="preserve">PAGE</w:instrText>
      <w:fldChar w:fldCharType="separate"/>
      <w:fldChar w:fldCharType="end"/>
      <w:t xml:space="preserve"> of </w:t>
      <w:fldChar w:fldCharType="begin"/>
      <w:instrText xml:space="preserve">NUMPAGES</w:instrText>
      <w:fldChar w:fldCharType="separate"/>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pBdr>
        <w:top w:val="single" w:color="C9CCD3" w:sz="6" w:space="6"/>
      </w:pBdr>
      <w:tabs>
        <w:tab w:val="right" w:pos="9638"/>
      </w:tabs>
      <w:spacing w:before="60"/>
    </w:pPr>
    <w:r>
      <w:rPr>
        <w:rFonts w:ascii="Calibri" w:cs="Calibri" w:eastAsia="Calibri" w:hAnsi="Calibri"/>
        <w:color w:val="6E7480"/>
        <w:sz w:val="17"/>
        <w:szCs w:val="17"/>
      </w:rPr>
      <w:t xml:space="preserve">Generated from www.helionerp.com	</w:t>
    </w:r>
    <w:r>
      <w:rPr>
        <w:rFonts w:ascii="Calibri" w:cs="Calibri" w:eastAsia="Calibri" w:hAnsi="Calibri"/>
        <w:color w:val="6E7480"/>
        <w:sz w:val="17"/>
        <w:szCs w:val="17"/>
      </w:rPr>
      <w:t xml:space="preserve">Page </w:t>
      <w:fldChar w:fldCharType="begin"/>
      <w:instrText xml:space="preserve">PAGE</w:instrText>
      <w:fldChar w:fldCharType="separate"/>
      <w:fldChar w:fldCharType="end"/>
      <w:t xml:space="preserve"> of </w:t>
      <w:fldChar w:fldCharType="begin"/>
      <w:instrText xml:space="preserve">NUMPAGES</w:instrText>
      <w:fldChar w:fldCharType="separate"/>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pBdr>
        <w:top w:val="single" w:color="C9CCD3" w:sz="6" w:space="6"/>
      </w:pBdr>
      <w:tabs>
        <w:tab w:val="right" w:pos="15038"/>
      </w:tabs>
      <w:spacing w:before="60"/>
    </w:pPr>
    <w:r>
      <w:rPr>
        <w:rFonts w:ascii="Calibri" w:cs="Calibri" w:eastAsia="Calibri" w:hAnsi="Calibri"/>
        <w:color w:val="6E7480"/>
        <w:sz w:val="17"/>
        <w:szCs w:val="17"/>
      </w:rPr>
      <w:t xml:space="preserve">Generated from www.helionerp.com	</w:t>
    </w:r>
    <w:r>
      <w:rPr>
        <w:rFonts w:ascii="Calibri" w:cs="Calibri" w:eastAsia="Calibri" w:hAnsi="Calibri"/>
        <w:color w:val="6E7480"/>
        <w:sz w:val="17"/>
        <w:szCs w:val="17"/>
      </w:rPr>
      <w:t xml:space="preserve">Page </w:t>
      <w:fldChar w:fldCharType="begin"/>
      <w:instrText xml:space="preserve">PAGE</w:instrText>
      <w:fldChar w:fldCharType="separate"/>
      <w:fldChar w:fldCharType="end"/>
      <w:t xml:space="preserve"> of </w:t>
      <w:fldChar w:fldCharType="begin"/>
      <w:instrText xml:space="preserve">NUMPAGES</w:instrText>
      <w:fldChar w:fldCharType="separate"/>
      <w:fldChar w:fldCharType="end"/>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pBdr>
        <w:top w:val="single" w:color="C9CCD3" w:sz="6" w:space="6"/>
      </w:pBdr>
      <w:tabs>
        <w:tab w:val="right" w:pos="15038"/>
      </w:tabs>
      <w:spacing w:before="60"/>
    </w:pPr>
    <w:r>
      <w:rPr>
        <w:rFonts w:ascii="Calibri" w:cs="Calibri" w:eastAsia="Calibri" w:hAnsi="Calibri"/>
        <w:color w:val="6E7480"/>
        <w:sz w:val="17"/>
        <w:szCs w:val="17"/>
      </w:rPr>
      <w:t xml:space="preserve">Generated from www.helionerp.com	</w:t>
    </w:r>
    <w:r>
      <w:rPr>
        <w:rFonts w:ascii="Calibri" w:cs="Calibri" w:eastAsia="Calibri" w:hAnsi="Calibri"/>
        <w:color w:val="6E7480"/>
        <w:sz w:val="17"/>
        <w:szCs w:val="17"/>
      </w:rPr>
      <w:t xml:space="preserve">Page </w:t>
      <w:fldChar w:fldCharType="begin"/>
      <w:instrText xml:space="preserve">PAGE</w:instrText>
      <w:fldChar w:fldCharType="separate"/>
      <w:fldChar w:fldCharType="end"/>
      <w:t xml:space="preserve"> of </w:t>
      <w:fldChar w:fldCharType="begin"/>
      <w:instrText xml:space="preserve">NUMPAGES</w:instrText>
      <w:fldChar w:fldCharType="separate"/>
      <w:fldChar w:fldCharType="end"/>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pBdr>
        <w:top w:val="single" w:color="C9CCD3" w:sz="6" w:space="6"/>
      </w:pBdr>
      <w:tabs>
        <w:tab w:val="right" w:pos="9638"/>
      </w:tabs>
      <w:spacing w:before="60"/>
    </w:pPr>
    <w:r>
      <w:rPr>
        <w:rFonts w:ascii="Calibri" w:cs="Calibri" w:eastAsia="Calibri" w:hAnsi="Calibri"/>
        <w:color w:val="6E7480"/>
        <w:sz w:val="17"/>
        <w:szCs w:val="17"/>
      </w:rPr>
      <w:t xml:space="preserve">Generated from www.helionerp.com	</w:t>
    </w:r>
    <w:r>
      <w:rPr>
        <w:rFonts w:ascii="Calibri" w:cs="Calibri" w:eastAsia="Calibri" w:hAnsi="Calibri"/>
        <w:color w:val="6E7480"/>
        <w:sz w:val="17"/>
        <w:szCs w:val="17"/>
      </w:rPr>
      <w:t xml:space="preserve">Page </w:t>
      <w:fldChar w:fldCharType="begin"/>
      <w:instrText xml:space="preserve">PAGE</w:instrText>
      <w:fldChar w:fldCharType="separate"/>
      <w:fldChar w:fldCharType="end"/>
      <w:t xml:space="preserve"> of </w:t>
      <w:fldChar w:fldCharType="begin"/>
      <w:instrText xml:space="preserve">NUMPAGES</w:instrText>
      <w:fldChar w:fldCharType="separate"/>
      <w:fldChar w:fldCharType="end"/>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pBdr>
        <w:top w:val="single" w:color="C9CCD3" w:sz="6" w:space="6"/>
      </w:pBdr>
      <w:tabs>
        <w:tab w:val="right" w:pos="9638"/>
      </w:tabs>
      <w:spacing w:before="60"/>
    </w:pPr>
    <w:r>
      <w:rPr>
        <w:rFonts w:ascii="Calibri" w:cs="Calibri" w:eastAsia="Calibri" w:hAnsi="Calibri"/>
        <w:color w:val="6E7480"/>
        <w:sz w:val="17"/>
        <w:szCs w:val="17"/>
      </w:rPr>
      <w:t xml:space="preserve">Generated from www.helionerp.com	</w:t>
    </w:r>
    <w:r>
      <w:rPr>
        <w:rFonts w:ascii="Calibri" w:cs="Calibri" w:eastAsia="Calibri" w:hAnsi="Calibri"/>
        <w:color w:val="6E7480"/>
        <w:sz w:val="17"/>
        <w:szCs w:val="17"/>
      </w:rPr>
      <w:t xml:space="preserve">Page </w:t>
      <w:fldChar w:fldCharType="begin"/>
      <w:instrText xml:space="preserve">PAGE</w:instrText>
      <w:fldChar w:fldCharType="separate"/>
      <w:fldChar w:fldCharType="end"/>
      <w:t xml:space="preserve"> of </w:t>
      <w:fldChar w:fldCharType="begin"/>
      <w:instrText xml:space="preserve">NUMPAGES</w:instrText>
      <w:fldChar w:fldCharType="separate"/>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w16cid="http://schemas.microsoft.com/office/word/2016/wordml/cid" xmlns:w16se="http://schemas.microsoft.com/office/word/2015/wordml/symex"/>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w16cid="http://schemas.microsoft.com/office/word/2016/wordml/cid" xmlns:w16se="http://schemas.microsoft.com/office/word/2015/wordml/symex">
  <w:p>
    <w:pPr>
      <w:pBdr>
        <w:bottom w:val="single" w:color="C9CCD3" w:sz="6" w:space="6"/>
      </w:pBdr>
      <w:spacing w:after="200"/>
      <w:jc w:val="center"/>
    </w:pPr>
    <w:r>
      <w:rPr>
        <w:rFonts w:ascii="Calibri" w:cs="Calibri" w:eastAsia="Calibri" w:hAnsi="Calibri"/>
        <w:i/>
        <w:iCs/>
        <w:color w:val="6E7480"/>
        <w:sz w:val="17"/>
        <w:szCs w:val="17"/>
      </w:rPr>
      <w:t xml:space="preserve">[HEADER — replace with your organisation's letterhead, if used]</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cs="Calibri" w:eastAsia="Calibri" w:hAnsi="Calibri"/>
        <w:color w:val="14161B"/>
        <w:sz w:val="21"/>
        <w:szCs w:val="21"/>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header" Target="header1.xml"/><Relationship Id="rId8" Type="http://schemas.openxmlformats.org/officeDocument/2006/relationships/header" Target="header2.xml"/><Relationship Id="rId9" Type="http://schemas.openxmlformats.org/officeDocument/2006/relationships/footer" Target="footer1.xml"/><Relationship Id="rId10" Type="http://schemas.openxmlformats.org/officeDocument/2006/relationships/footer" Target="footer2.xml"/><Relationship Id="rId11" Type="http://schemas.openxmlformats.org/officeDocument/2006/relationships/footer" Target="footer3.xml"/><Relationship Id="rId12" Type="http://schemas.openxmlformats.org/officeDocument/2006/relationships/footer" Target="footer4.xml"/><Relationship Id="rId13" Type="http://schemas.openxmlformats.org/officeDocument/2006/relationships/footer" Target="footer5.xml"/><Relationship Id="rId14" Type="http://schemas.openxmlformats.org/officeDocument/2006/relationships/footer" Target="footer6.xml"/><Relationship Id="rId15"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er2.xml.rels><?xml version="1.0" encoding="UTF-8"?><Relationships xmlns="http://schemas.openxmlformats.org/package/2006/relationships"/>
</file>

<file path=word/_rels/footer3.xml.rels><?xml version="1.0" encoding="UTF-8"?><Relationships xmlns="http://schemas.openxmlformats.org/package/2006/relationships"/>
</file>

<file path=word/_rels/footer4.xml.rels><?xml version="1.0" encoding="UTF-8"?><Relationships xmlns="http://schemas.openxmlformats.org/package/2006/relationships"/>
</file>

<file path=word/_rels/footer5.xml.rels><?xml version="1.0" encoding="UTF-8"?><Relationships xmlns="http://schemas.openxmlformats.org/package/2006/relationships"/>
</file>

<file path=word/_rels/footer6.xml.rels><?xml version="1.0" encoding="UTF-8"?><Relationships xmlns="http://schemas.openxmlformats.org/package/2006/relationships"/>
</file>

<file path=word/_rels/footnotes.xml.rels><?xml version="1.0" encoding="UTF-8"?><Relationships xmlns="http://schemas.openxmlformats.org/package/2006/relationships"/>
</file>

<file path=word/_rels/header1.xml.rels><?xml version="1.0" encoding="UTF-8"?><Relationships xmlns="http://schemas.openxmlformats.org/package/2006/relationships"/>
</file>

<file path=word/_rels/header2.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Helion ERP</dc:creator>
  <dc:description>Template generated from www.helionerp.com</dc:description>
  <cp:lastModifiedBy>Un-named</cp:lastModifiedBy>
  <cp:revision>1</cp:revision>
  <dcterms:created xsi:type="dcterms:W3CDTF">2026-08-22T06:55:30.871Z</dcterms:created>
  <dcterms:modified xsi:type="dcterms:W3CDTF">2026-08-22T06:55:30.871Z</dcterms:modified>
</cp:coreProperties>
</file>

<file path=docProps/custom.xml><?xml version="1.0" encoding="utf-8"?>
<Properties xmlns="http://schemas.openxmlformats.org/officeDocument/2006/custom-properties" xmlns:vt="http://schemas.openxmlformats.org/officeDocument/2006/docPropsVTypes"/>
</file>