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CAP TABLE</w:t>
      </w:r>
    </w:p>
    <w:p>
      <w:pPr>
        <w:spacing w:after="260"/>
        <w:jc w:val="center"/>
      </w:pPr>
      <w:r>
        <w:rPr>
          <w:rFonts w:ascii="Calibri" w:cs="Calibri" w:eastAsia="Calibri" w:hAnsi="Calibri"/>
          <w:i/>
          <w:iCs/>
          <w:color w:val="6E7480"/>
          <w:sz w:val="19"/>
          <w:szCs w:val="19"/>
        </w:rPr>
        <w:t xml:space="preserve">Structure, modelling and reconciliation</w:t>
      </w:r>
    </w:p>
    <w:p>
      <w:pPr>
        <w:spacing w:after="180" w:before="0" w:line="276"/>
        <w:jc w:val="both"/>
      </w:pPr>
      <w:r>
        <w:rPr>
          <w:rFonts w:ascii="Calibri" w:cs="Calibri" w:eastAsia="Calibri" w:hAnsi="Calibri"/>
          <w:i/>
          <w:iCs/>
          <w:color w:val="6E7480"/>
          <w:sz w:val="21"/>
          <w:szCs w:val="21"/>
        </w:rPr>
        <w:t xml:space="preserve">A cap table is only useful if it is </w:t>
      </w:r>
      <w:r>
        <w:rPr>
          <w:rFonts w:ascii="Calibri" w:cs="Calibri" w:eastAsia="Calibri" w:hAnsi="Calibri"/>
          <w:b/>
          <w:bCs/>
          <w:i/>
          <w:iCs/>
          <w:color w:val="6E7480"/>
          <w:sz w:val="21"/>
          <w:szCs w:val="21"/>
        </w:rPr>
        <w:t xml:space="preserve">fully diluted</w:t>
      </w:r>
      <w:r>
        <w:rPr>
          <w:rFonts w:ascii="Calibri" w:cs="Calibri" w:eastAsia="Calibri" w:hAnsi="Calibri"/>
          <w:i/>
          <w:iCs/>
          <w:color w:val="6E7480"/>
          <w:sz w:val="21"/>
          <w:szCs w:val="21"/>
        </w:rPr>
        <w:t xml:space="preserve"> and reconciled to the register of members maintained by the Registrar. Tables that omit the ungranted option pool, or that show only issued shares, systematically overstate what founders own — usually by the margin that matters most in a negotiation.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at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Maintained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Reconciled to the Registrar’s register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shares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Fully diluted shares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 pool — granted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 pool — available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Convertibles outstanding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r>
              <w:rPr>
                <w:rFonts w:ascii="Calibri" w:cs="Calibri" w:eastAsia="Calibri" w:hAnsi="Calibri"/>
                <w:sz w:val="19"/>
                <w:szCs w:val="19"/>
              </w:rPr>
              <w:t xml:space="preserve"> across </w:t>
            </w:r>
            <w:r>
              <w:rPr>
                <w:rFonts w:ascii="Calibri" w:cs="Calibri" w:eastAsia="Calibri" w:hAnsi="Calibri"/>
                <w:b/>
                <w:bCs/>
                <w:sz w:val="19"/>
                <w:szCs w:val="19"/>
              </w:rPr>
              <w:t xml:space="preserve">[NUMBER]</w:t>
            </w:r>
            <w:r>
              <w:rPr>
                <w:rFonts w:ascii="Calibri" w:cs="Calibri" w:eastAsia="Calibri" w:hAnsi="Calibri"/>
                <w:sz w:val="19"/>
                <w:szCs w:val="19"/>
              </w:rPr>
              <w:t xml:space="preserve"> instruments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financing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[ROUND]</w:t>
            </w:r>
            <w:r>
              <w:rPr>
                <w:rFonts w:ascii="Calibri" w:cs="Calibri" w:eastAsia="Calibri" w:hAnsi="Calibri"/>
                <w:sz w:val="19"/>
                <w:szCs w:val="19"/>
              </w:rPr>
              <w:t xml:space="preserve">, </w:t>
            </w:r>
            <w:r>
              <w:rPr>
                <w:rFonts w:ascii="Calibri" w:cs="Calibri" w:eastAsia="Calibri" w:hAnsi="Calibri"/>
                <w:b/>
                <w:bCs/>
                <w:sz w:val="19"/>
                <w:szCs w:val="19"/>
              </w:rPr>
              <w:t xml:space="preserve">[DATE]</w:t>
            </w:r>
            <w:r>
              <w:rPr>
                <w:rFonts w:ascii="Calibri" w:cs="Calibri" w:eastAsia="Calibri" w:hAnsi="Calibri"/>
                <w:sz w:val="19"/>
                <w:szCs w:val="19"/>
              </w:rPr>
              <w:t xml:space="preserve">, at S$ </w:t>
            </w:r>
            <w:r>
              <w:rPr>
                <w:rFonts w:ascii="Calibri" w:cs="Calibri" w:eastAsia="Calibri" w:hAnsi="Calibri"/>
                <w:b/>
                <w:bCs/>
                <w:sz w:val="19"/>
                <w:szCs w:val="19"/>
              </w:rPr>
              <w:t xml:space="preserve">[AMOUNT]</w:t>
            </w:r>
            <w:r>
              <w:rPr>
                <w:rFonts w:ascii="Calibri" w:cs="Calibri" w:eastAsia="Calibri" w:hAnsi="Calibri"/>
                <w:sz w:val="19"/>
                <w:szCs w:val="19"/>
              </w:rPr>
              <w:t xml:space="preserve"> pre-money</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FULLY DILUTED INCLUDES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4240"/>
        <w:gridCol w:w="3856"/>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Issued shares of every class</w:t>
            </w:r>
          </w:p>
        </w:tc>
        <w:tc>
          <w:tcPr>
            <w:tcW w:type="dxa" w:w="3856"/>
            <w:tcMar>
              <w:top w:type="dxa" w:w="70"/>
              <w:left w:type="dxa" w:w="100"/>
              <w:bottom w:type="dxa" w:w="70"/>
              <w:right w:type="dxa" w:w="100"/>
            </w:tcMar>
            <w:vAlign w:val="center"/>
          </w:tcPr>
          <w:p>
            <w:pPr>
              <w:spacing w:after="0" w:line="240"/>
              <w:jc w:val="left"/>
            </w:pP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granted and outstanding, vested and unvested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They will be exercised if the company succeeds</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Option pool authorised but not yet granted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line founders most often omit</w:t>
            </w:r>
            <w:r>
              <w:rPr>
                <w:rFonts w:ascii="Calibri" w:cs="Calibri" w:eastAsia="Calibri" w:hAnsi="Calibri"/>
                <w:sz w:val="18"/>
                <w:szCs w:val="18"/>
              </w:rPr>
              <w:t xml:space="preserve"> — investors always count it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Convertible instruments on an as-converted basis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Model at the cap and at the expected round price</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Warrants and any other subscription right</w:t>
            </w:r>
          </w:p>
        </w:tc>
        <w:tc>
          <w:tcPr>
            <w:tcW w:type="dxa" w:w="3856"/>
            <w:tcMar>
              <w:top w:type="dxa" w:w="70"/>
              <w:left w:type="dxa" w:w="100"/>
              <w:bottom w:type="dxa" w:w="70"/>
              <w:right w:type="dxa" w:w="100"/>
            </w:tcMar>
            <w:vAlign w:val="center"/>
          </w:tcPr>
          <w:p>
            <w:pPr>
              <w:spacing w:after="0" w:line="240"/>
              <w:jc w:val="left"/>
            </w:pP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promised but not documented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Verbal or offer-letter commitments are real</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[Model separately]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adjustments not yet triggered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Show the down-round case if plausible</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lapsed and returned to the pool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They sit in the available pool line instead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A table showing founders at 62 per cent that omits a 15 per cent ungranted pool is overstating their position by a margin that changes every conversation. Build it fully diluted from the start.</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2. CAP TABLE</w:t>
      </w:r>
    </w:p>
    <w:p>
      <w:pPr>
        <w:spacing w:after="260"/>
        <w:jc w:val="center"/>
      </w:pPr>
      <w:r>
        <w:rPr>
          <w:rFonts w:ascii="Calibri" w:cs="Calibri" w:eastAsia="Calibri" w:hAnsi="Calibri"/>
          <w:i/>
          <w:iCs/>
          <w:color w:val="6E7480"/>
          <w:sz w:val="19"/>
          <w:szCs w:val="19"/>
        </w:rPr>
        <w:t xml:space="preserve">As at </w:t>
      </w:r>
      <w:r>
        <w:rPr>
          <w:rFonts w:ascii="Calibri" w:cs="Calibri" w:eastAsia="Calibri" w:hAnsi="Calibri"/>
          <w:b/>
          <w:bCs/>
          <w:i/>
          <w:iCs/>
          <w:color w:val="6E7480"/>
          <w:sz w:val="19"/>
          <w:szCs w:val="19"/>
        </w:rPr>
        <w:t xml:space="preserve">[DATE]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406"/>
        <w:gridCol w:w="1353"/>
        <w:gridCol w:w="1203"/>
        <w:gridCol w:w="1353"/>
        <w:gridCol w:w="1654"/>
        <w:gridCol w:w="1353"/>
        <w:gridCol w:w="1052"/>
        <w:gridCol w:w="1203"/>
        <w:gridCol w:w="1353"/>
        <w:gridCol w:w="2108"/>
      </w:tblGrid>
      <w:tr>
        <w:trPr>
          <w:tblHeader/>
        </w:trPr>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Holder</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Shares</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Options granted</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Convertible (as converted)</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Fully diluted</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 issued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 fully diluted</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Invested (S$)</w:t>
            </w:r>
          </w:p>
        </w:tc>
        <w:tc>
          <w:tcPr>
            <w:tcW w:type="dxa" w:w="21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Notes</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 A]</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[Vesting to DATE]</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 B]</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[Vesting to DATE]</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[ANGEL]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[SEED 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[Series Seed]</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 non-participating]</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[SERIES A 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[Series A]</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 non-participating]</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[EMPLOYEE OPTION HOLDERS]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[See option register]</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Option pool — available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 yet granted</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[CONVERTIBLE HOLDER]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[Cap S$ ______, 20% discount]</w:t>
            </w:r>
          </w:p>
        </w:tc>
      </w:tr>
      <w:t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Total</w:t>
            </w:r>
          </w:p>
        </w:tc>
        <w:tc>
          <w:tcPr>
            <w:tcW w:type="dxa" w:w="1353"/>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100%</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100%</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108"/>
            <w:tcMar>
              <w:top w:type="dxa" w:w="70"/>
              <w:left w:type="dxa" w:w="100"/>
              <w:bottom w:type="dxa" w:w="70"/>
              <w:right w:type="dxa" w:w="100"/>
            </w:tcMar>
            <w:vAlign w:val="center"/>
          </w:tcPr>
          <w:p>
            <w:pPr>
              <w:spacing w:after="0" w:line="240"/>
              <w:jc w:val="left"/>
            </w:pPr>
          </w:p>
        </w:tc>
      </w:tr>
    </w:tbl>
    <w:p>
      <w:pPr>
        <w:spacing w:after="140"/>
      </w:pPr>
    </w:p>
    <w:p>
      <w:pPr>
        <w:spacing w:after="60" w:before="240"/>
        <w:jc w:val="center"/>
      </w:pPr>
      <w:r>
        <w:rPr>
          <w:rFonts w:ascii="Calibri" w:cs="Calibri" w:eastAsia="Calibri" w:hAnsi="Calibri"/>
          <w:b/>
          <w:bCs/>
          <w:color w:val="14161B"/>
          <w:spacing w:val="12"/>
          <w:sz w:val="28"/>
          <w:szCs w:val="28"/>
        </w:rPr>
        <w:t xml:space="preserve">3. ROUND MODEL</w:t>
      </w:r>
    </w:p>
    <w:p>
      <w:pPr>
        <w:spacing w:after="260"/>
        <w:jc w:val="center"/>
      </w:pPr>
      <w:r>
        <w:rPr>
          <w:rFonts w:ascii="Calibri" w:cs="Calibri" w:eastAsia="Calibri" w:hAnsi="Calibri"/>
          <w:i/>
          <w:iCs/>
          <w:color w:val="6E7480"/>
          <w:sz w:val="19"/>
          <w:szCs w:val="19"/>
        </w:rPr>
        <w:t xml:space="preserve">Before, pool increase, and after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007"/>
        <w:gridCol w:w="1654"/>
        <w:gridCol w:w="1203"/>
        <w:gridCol w:w="2105"/>
        <w:gridCol w:w="1203"/>
        <w:gridCol w:w="1654"/>
        <w:gridCol w:w="1654"/>
        <w:gridCol w:w="1203"/>
        <w:gridCol w:w="1355"/>
      </w:tblGrid>
      <w:tr>
        <w:trPr>
          <w:tblHeader/>
        </w:trPr>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Holder</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Now</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pool increase</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New shares</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round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Change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 A]</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 B]</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[EXISTING INVESTORS]</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[NEW INVESTOR]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Options granted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Pool available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Convertibles as converted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 fully diluted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r>
    </w:tbl>
    <w:p>
      <w:pPr>
        <w:spacing w:after="140"/>
      </w:pPr>
    </w:p>
    <w:p>
      <w:pPr>
        <w:spacing w:after="120" w:before="0" w:line="276"/>
        <w:jc w:val="both"/>
      </w:pPr>
      <w:r>
        <w:rPr>
          <w:rFonts w:ascii="Calibri" w:cs="Calibri" w:eastAsia="Calibri" w:hAnsi="Calibri"/>
          <w:i/>
          <w:iCs/>
          <w:sz w:val="21"/>
          <w:szCs w:val="21"/>
        </w:rPr>
        <w:t xml:space="preserve">Column 4 is the one founders rarely see. Where the pool increase sits inside the pre-money, all of that dilution falls on the existing holders and none on the incoming investor.</w:t>
      </w:r>
    </w:p>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4. EXIT WATERFALL</w:t>
      </w:r>
    </w:p>
    <w:p>
      <w:pPr>
        <w:spacing w:after="120" w:before="0" w:line="276"/>
        <w:jc w:val="both"/>
      </w:pPr>
      <w:r>
        <w:rPr>
          <w:rFonts w:ascii="Calibri" w:cs="Calibri" w:eastAsia="Calibri" w:hAnsi="Calibri"/>
          <w:i/>
          <w:iCs/>
          <w:sz w:val="21"/>
          <w:szCs w:val="21"/>
        </w:rPr>
        <w:t xml:space="preserve">Model at several exit values. The preference structure changes founder outcomes far more than valuation does at modest exits.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1445"/>
        <w:gridCol w:w="1252"/>
        <w:gridCol w:w="1445"/>
        <w:gridCol w:w="1445"/>
        <w:gridCol w:w="1349"/>
        <w:gridCol w:w="1353"/>
      </w:tblGrid>
      <w:tr>
        <w:trPr>
          <w:tblHeader/>
        </w:trPr>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value (S$)</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To creditors and notes</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Preference paid</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Balance to ordinary</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Founders receive</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Options receive</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Founders as % of exit</w:t>
            </w:r>
          </w:p>
        </w:tc>
      </w:tr>
      <w:t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[25m]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bl>
    <w:p>
      <w:pPr>
        <w:spacing w:after="160"/>
      </w:pPr>
    </w:p>
    <w:p>
      <w:pPr>
        <w:keepNext/>
        <w:spacing w:after="120" w:before="280"/>
        <w:outlineLvl w:val="0"/>
      </w:pPr>
      <w:r>
        <w:rPr>
          <w:rFonts w:ascii="Calibri" w:cs="Calibri" w:eastAsia="Calibri" w:hAnsi="Calibri"/>
          <w:b/>
          <w:bCs/>
          <w:color w:val="14161B"/>
          <w:sz w:val="22"/>
          <w:szCs w:val="22"/>
        </w:rPr>
        <w:t xml:space="preserve">5. MAINTENANCE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313"/>
        <w:gridCol w:w="3855"/>
        <w:gridCol w:w="3085"/>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Event</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Update required</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Filing</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allotment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holder; recompute all percentages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within 14 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transfer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Move shares between holders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Stamp the instrument; lodge the transfer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grant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Increase granted; reduce available pool</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 — update the option register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exercise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Move from granted options to issued shares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within 14 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lapse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 to the available pool if the rules so provide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increase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Increase available pool; recompute fully diluted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Members’ resolution where required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issued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as-converted line; model at cap and at expected price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 until conversion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Conversion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Replace the convertible line with issued shares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within 14 days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Buyback of unvested founder shares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Reduce the founder holding</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as required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change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Reconcile to the Registrar’s register</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controllers register</w:t>
            </w:r>
          </w:p>
        </w:tc>
      </w:tr>
    </w:tbl>
    <w:p>
      <w:pPr>
        <w:spacing w:after="160"/>
      </w:pPr>
    </w:p>
    <w:p>
      <w:pPr>
        <w:keepNext/>
        <w:spacing w:after="120" w:before="280"/>
        <w:outlineLvl w:val="0"/>
      </w:pPr>
      <w:r>
        <w:rPr>
          <w:rFonts w:ascii="Calibri" w:cs="Calibri" w:eastAsia="Calibri" w:hAnsi="Calibri"/>
          <w:b/>
          <w:bCs/>
          <w:color w:val="14161B"/>
          <w:sz w:val="22"/>
          <w:szCs w:val="22"/>
        </w:rPr>
        <w:t xml:space="preserve">6. RECONCILIATION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879"/>
        <w:gridCol w:w="1638"/>
        <w:gridCol w:w="164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8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Result</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Issued shares in the cap table agree to the Registrar’s register of members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allotment has a corresponding return of allotment filed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transfer is stamped and lodged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Granted options agree to the option register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size agrees to the authorising resolution</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instruments agree to signed documents</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Undocumented equity promises identified and provided for</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classes and rights agree to the constitution</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Fifty-member limit not exceeded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8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Registrable controllers identified and register current</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Fully diluted, always</w:t>
      </w:r>
    </w:p>
    <w:p>
      <w:pPr>
        <w:spacing w:after="60" w:line="264"/>
        <w:jc w:val="both"/>
      </w:pPr>
      <w:r>
        <w:rPr>
          <w:rFonts w:ascii="Calibri" w:cs="Calibri" w:eastAsia="Calibri" w:hAnsi="Calibri"/>
          <w:sz w:val="19"/>
          <w:szCs w:val="19"/>
        </w:rPr>
        <w:t xml:space="preserve">Build the table fully diluted from the first day. Investors, acquirers and any adviser will do so, and a founder working from an issued-shares-only table is negotiating from a number that is not the one anyone else is using.</w:t>
      </w:r>
    </w:p>
    <w:p>
      <w:pPr>
        <w:keepNext/>
        <w:spacing w:after="40" w:before="140"/>
      </w:pPr>
      <w:r>
        <w:rPr>
          <w:rFonts w:ascii="Calibri" w:cs="Calibri" w:eastAsia="Calibri" w:hAnsi="Calibri"/>
          <w:b/>
          <w:bCs/>
          <w:color w:val="14161B"/>
          <w:sz w:val="20"/>
          <w:szCs w:val="20"/>
        </w:rPr>
        <w:t xml:space="preserve">Include the ungranted pool</w:t>
      </w:r>
    </w:p>
    <w:p>
      <w:pPr>
        <w:spacing w:after="60" w:line="264"/>
        <w:jc w:val="both"/>
      </w:pPr>
      <w:r>
        <w:rPr>
          <w:rFonts w:ascii="Calibri" w:cs="Calibri" w:eastAsia="Calibri" w:hAnsi="Calibri"/>
          <w:sz w:val="19"/>
          <w:szCs w:val="19"/>
        </w:rPr>
        <w:t xml:space="preserve">Authorised-but-ungranted option shares are counted by investors as though issued. Omitting them is the single most common cap table error, and it inflates founder percentages by exactly the amount that matters in a valuation discussion.</w:t>
      </w:r>
    </w:p>
    <w:p>
      <w:pPr>
        <w:keepNext/>
        <w:spacing w:after="40" w:before="140"/>
      </w:pPr>
      <w:r>
        <w:rPr>
          <w:rFonts w:ascii="Calibri" w:cs="Calibri" w:eastAsia="Calibri" w:hAnsi="Calibri"/>
          <w:b/>
          <w:bCs/>
          <w:color w:val="14161B"/>
          <w:sz w:val="20"/>
          <w:szCs w:val="20"/>
        </w:rPr>
        <w:t xml:space="preserve">Model the pool increase separately</w:t>
      </w:r>
    </w:p>
    <w:p>
      <w:pPr>
        <w:spacing w:after="60" w:line="264"/>
        <w:jc w:val="both"/>
      </w:pPr>
      <w:r>
        <w:rPr>
          <w:rFonts w:ascii="Calibri" w:cs="Calibri" w:eastAsia="Calibri" w:hAnsi="Calibri"/>
          <w:sz w:val="19"/>
          <w:szCs w:val="19"/>
        </w:rPr>
        <w:t xml:space="preserve">Section 3 shows the position before, after a pool increase, and after the round. Founders are usually shown only the first and last columns. Where the pool increase sits inside the pre-money, the middle column is where the founders’ dilution actually happens and the investor’s does not.</w:t>
      </w:r>
    </w:p>
    <w:p>
      <w:pPr>
        <w:keepNext/>
        <w:spacing w:after="40" w:before="140"/>
      </w:pPr>
      <w:r>
        <w:rPr>
          <w:rFonts w:ascii="Calibri" w:cs="Calibri" w:eastAsia="Calibri" w:hAnsi="Calibri"/>
          <w:b/>
          <w:bCs/>
          <w:color w:val="14161B"/>
          <w:sz w:val="20"/>
          <w:szCs w:val="20"/>
        </w:rPr>
        <w:t xml:space="preserve">Reconcile to the Registrar’s register, not the internal one</w:t>
      </w:r>
    </w:p>
    <w:p>
      <w:pPr>
        <w:spacing w:after="60" w:line="264"/>
        <w:jc w:val="both"/>
      </w:pPr>
      <w:r>
        <w:rPr>
          <w:rFonts w:ascii="Calibri" w:cs="Calibri" w:eastAsia="Calibri" w:hAnsi="Calibri"/>
          <w:sz w:val="19"/>
          <w:szCs w:val="19"/>
        </w:rPr>
        <w:t xml:space="preserve">For a private company the register of members maintained by the Registrar is prima facie evidence of legal title. A cap table that reconciles to an internal register but not to the Registrar’s record is reconciled to the wrong thing. Check 1 in Section 6 is the important one.</w:t>
      </w:r>
    </w:p>
    <w:p>
      <w:pPr>
        <w:keepNext/>
        <w:spacing w:after="40" w:before="140"/>
      </w:pPr>
      <w:r>
        <w:rPr>
          <w:rFonts w:ascii="Calibri" w:cs="Calibri" w:eastAsia="Calibri" w:hAnsi="Calibri"/>
          <w:b/>
          <w:bCs/>
          <w:color w:val="14161B"/>
          <w:sz w:val="20"/>
          <w:szCs w:val="20"/>
        </w:rPr>
        <w:t xml:space="preserve">Every allotment needs a filing within fourteen days</w:t>
      </w:r>
    </w:p>
    <w:p>
      <w:pPr>
        <w:spacing w:after="60" w:line="264"/>
        <w:jc w:val="both"/>
      </w:pPr>
      <w:r>
        <w:rPr>
          <w:rFonts w:ascii="Calibri" w:cs="Calibri" w:eastAsia="Calibri" w:hAnsi="Calibri"/>
          <w:sz w:val="19"/>
          <w:szCs w:val="19"/>
        </w:rPr>
        <w:t xml:space="preserve">Option exercises, conversions and new issues are all allotments requiring a return within fourteen days. Companies treat exercises in particular as administrative and skip the filing, and the register drifts out of line quietly.</w:t>
      </w:r>
    </w:p>
    <w:p>
      <w:pPr>
        <w:keepNext/>
        <w:spacing w:after="40" w:before="140"/>
      </w:pPr>
      <w:r>
        <w:rPr>
          <w:rFonts w:ascii="Calibri" w:cs="Calibri" w:eastAsia="Calibri" w:hAnsi="Calibri"/>
          <w:b/>
          <w:bCs/>
          <w:color w:val="14161B"/>
          <w:sz w:val="20"/>
          <w:szCs w:val="20"/>
        </w:rPr>
        <w:t xml:space="preserve">Model convertibles at both prices</w:t>
      </w:r>
    </w:p>
    <w:p>
      <w:pPr>
        <w:spacing w:after="60" w:line="264"/>
        <w:jc w:val="both"/>
      </w:pPr>
      <w:r>
        <w:rPr>
          <w:rFonts w:ascii="Calibri" w:cs="Calibri" w:eastAsia="Calibri" w:hAnsi="Calibri"/>
          <w:sz w:val="19"/>
          <w:szCs w:val="19"/>
        </w:rPr>
        <w:t xml:space="preserve">A convertible converts at the lower of the discounted round price and the cap price. Show both. Where several instruments are outstanding at different caps, the aggregate is frequently far larger than founders expect, and it is only visible when modelled together.</w:t>
      </w:r>
    </w:p>
    <w:p>
      <w:pPr>
        <w:keepNext/>
        <w:spacing w:after="40" w:before="140"/>
      </w:pPr>
      <w:r>
        <w:rPr>
          <w:rFonts w:ascii="Calibri" w:cs="Calibri" w:eastAsia="Calibri" w:hAnsi="Calibri"/>
          <w:b/>
          <w:bCs/>
          <w:color w:val="14161B"/>
          <w:sz w:val="20"/>
          <w:szCs w:val="20"/>
        </w:rPr>
        <w:t xml:space="preserve">Track undocumented promises</w:t>
      </w:r>
    </w:p>
    <w:p>
      <w:pPr>
        <w:spacing w:after="60" w:line="264"/>
        <w:jc w:val="both"/>
      </w:pPr>
      <w:r>
        <w:rPr>
          <w:rFonts w:ascii="Calibri" w:cs="Calibri" w:eastAsia="Calibri" w:hAnsi="Calibri"/>
          <w:sz w:val="19"/>
          <w:szCs w:val="19"/>
        </w:rPr>
        <w:t xml:space="preserve">Equity promised in a hiring conversation or an offer letter and never granted is a real commitment that will appear in diligence and must be honoured. Keep it as a visible line rather than an unrecorded intention.</w:t>
      </w:r>
    </w:p>
    <w:p>
      <w:pPr>
        <w:keepNext/>
        <w:spacing w:after="40" w:before="140"/>
      </w:pPr>
      <w:r>
        <w:rPr>
          <w:rFonts w:ascii="Calibri" w:cs="Calibri" w:eastAsia="Calibri" w:hAnsi="Calibri"/>
          <w:b/>
          <w:bCs/>
          <w:color w:val="14161B"/>
          <w:sz w:val="20"/>
          <w:szCs w:val="20"/>
        </w:rPr>
        <w:t xml:space="preserve">Model the waterfall, not just the percentages</w:t>
      </w:r>
    </w:p>
    <w:p>
      <w:pPr>
        <w:spacing w:after="60" w:line="264"/>
        <w:jc w:val="both"/>
      </w:pPr>
      <w:r>
        <w:rPr>
          <w:rFonts w:ascii="Calibri" w:cs="Calibri" w:eastAsia="Calibri" w:hAnsi="Calibri"/>
          <w:sz w:val="19"/>
          <w:szCs w:val="19"/>
        </w:rPr>
        <w:t xml:space="preserve">Percentage ownership does not determine proceeds. Liquidation preferences are paid first, and a participating preference takes both the preference and a pro rata share. Section 4 exists because founders consistently discover this at the exit rather than at the term sheet.</w:t>
      </w:r>
    </w:p>
    <w:p>
      <w:pPr>
        <w:keepNext/>
        <w:spacing w:after="40" w:before="140"/>
      </w:pPr>
      <w:r>
        <w:rPr>
          <w:rFonts w:ascii="Calibri" w:cs="Calibri" w:eastAsia="Calibri" w:hAnsi="Calibri"/>
          <w:b/>
          <w:bCs/>
          <w:color w:val="14161B"/>
          <w:sz w:val="20"/>
          <w:szCs w:val="20"/>
        </w:rPr>
        <w:t xml:space="preserve">Model the exit values that are actually likely</w:t>
      </w:r>
    </w:p>
    <w:p>
      <w:pPr>
        <w:spacing w:after="60" w:line="264"/>
        <w:jc w:val="both"/>
      </w:pPr>
      <w:r>
        <w:rPr>
          <w:rFonts w:ascii="Calibri" w:cs="Calibri" w:eastAsia="Calibri" w:hAnsi="Calibri"/>
          <w:sz w:val="19"/>
          <w:szCs w:val="19"/>
        </w:rPr>
        <w:t xml:space="preserve">A waterfall modelled only at an optimistic exit value hides the problem. At modest exits, a participating preference or a stacked set of preferences can leave founders and option holders with very little. Run the realistic case.</w:t>
      </w:r>
    </w:p>
    <w:p>
      <w:pPr>
        <w:keepNext/>
        <w:spacing w:after="40" w:before="140"/>
      </w:pPr>
      <w:r>
        <w:rPr>
          <w:rFonts w:ascii="Calibri" w:cs="Calibri" w:eastAsia="Calibri" w:hAnsi="Calibri"/>
          <w:b/>
          <w:bCs/>
          <w:color w:val="14161B"/>
          <w:sz w:val="20"/>
          <w:szCs w:val="20"/>
        </w:rPr>
        <w:t xml:space="preserve">One table, one owner</w:t>
      </w:r>
    </w:p>
    <w:p>
      <w:pPr>
        <w:spacing w:after="60" w:line="264"/>
        <w:jc w:val="both"/>
      </w:pPr>
      <w:r>
        <w:rPr>
          <w:rFonts w:ascii="Calibri" w:cs="Calibri" w:eastAsia="Calibri" w:hAnsi="Calibri"/>
          <w:sz w:val="19"/>
          <w:szCs w:val="19"/>
        </w:rPr>
        <w:t xml:space="preserve">Multiple versions held by the founder, the finance lead and the investors diverge within months. Nominate one owner, update it on every event rather than before a financing, and circulate from that single source.</w:t>
      </w:r>
    </w:p>
    <w:p>
      <w:pPr>
        <w:keepNext/>
        <w:spacing w:after="40" w:before="140"/>
      </w:pPr>
      <w:r>
        <w:rPr>
          <w:rFonts w:ascii="Calibri" w:cs="Calibri" w:eastAsia="Calibri" w:hAnsi="Calibri"/>
          <w:b/>
          <w:bCs/>
          <w:color w:val="14161B"/>
          <w:sz w:val="20"/>
          <w:szCs w:val="20"/>
        </w:rPr>
        <w:t xml:space="preserve">Watch the fifty-member limit</w:t>
      </w:r>
    </w:p>
    <w:p>
      <w:pPr>
        <w:spacing w:after="60" w:line="264"/>
        <w:jc w:val="both"/>
      </w:pPr>
      <w:r>
        <w:rPr>
          <w:rFonts w:ascii="Calibri" w:cs="Calibri" w:eastAsia="Calibri" w:hAnsi="Calibri"/>
          <w:sz w:val="19"/>
          <w:szCs w:val="19"/>
        </w:rPr>
        <w:t xml:space="preserve">A private company may not have more than fifty members, excluding employees and former employees who acquired shares while employed. Broad option exercise and fragmented secondary sales both push towards it.</w:t>
      </w:r>
    </w:p>
    <w:p>
      <w:pPr>
        <w:keepNext/>
        <w:spacing w:after="40" w:before="140"/>
      </w:pPr>
      <w:r>
        <w:rPr>
          <w:rFonts w:ascii="Calibri" w:cs="Calibri" w:eastAsia="Calibri" w:hAnsi="Calibri"/>
          <w:b/>
          <w:bCs/>
          <w:color w:val="14161B"/>
          <w:sz w:val="20"/>
          <w:szCs w:val="20"/>
        </w:rPr>
        <w:t xml:space="preserve">Review the controllers register on every change</w:t>
      </w:r>
    </w:p>
    <w:p>
      <w:pPr>
        <w:spacing w:after="60" w:line="264"/>
        <w:jc w:val="both"/>
      </w:pPr>
      <w:r>
        <w:rPr>
          <w:rFonts w:ascii="Calibri" w:cs="Calibri" w:eastAsia="Calibri" w:hAnsi="Calibri"/>
          <w:sz w:val="19"/>
          <w:szCs w:val="19"/>
        </w:rPr>
        <w:t xml:space="preserve">A holder crossing or falling below the significant-interest threshold changes the register of registrable controllers, which carries a central filing obligation. Item 10 of the maintenance table makes it automatic rather than remembered.</w:t>
      </w:r>
    </w:p>
    <w:p>
      <w:pPr>
        <w:keepNext/>
        <w:spacing w:after="40" w:before="140"/>
      </w:pPr>
      <w:r>
        <w:rPr>
          <w:rFonts w:ascii="Calibri" w:cs="Calibri" w:eastAsia="Calibri" w:hAnsi="Calibri"/>
          <w:b/>
          <w:bCs/>
          <w:color w:val="14161B"/>
          <w:sz w:val="20"/>
          <w:szCs w:val="20"/>
        </w:rPr>
        <w:t xml:space="preserve">Check the classes against the constitution</w:t>
      </w:r>
    </w:p>
    <w:p>
      <w:pPr>
        <w:spacing w:after="60" w:line="264"/>
        <w:jc w:val="both"/>
      </w:pPr>
      <w:r>
        <w:rPr>
          <w:rFonts w:ascii="Calibri" w:cs="Calibri" w:eastAsia="Calibri" w:hAnsi="Calibri"/>
          <w:sz w:val="19"/>
          <w:szCs w:val="19"/>
        </w:rPr>
        <w:t xml:space="preserve">A cap table showing Series A Preference Shares where the constitution recognises only ordinary shares means one of the two is wrong. This inconsistency is common where a bespoke agreement was negotiated but the Model Constitution was left in place.</w:t>
      </w:r>
    </w:p>
    <w:p>
      <w:pPr>
        <w:keepNext/>
        <w:spacing w:after="40" w:before="140"/>
      </w:pPr>
      <w:r>
        <w:rPr>
          <w:rFonts w:ascii="Calibri" w:cs="Calibri" w:eastAsia="Calibri" w:hAnsi="Calibri"/>
          <w:b/>
          <w:bCs/>
          <w:color w:val="14161B"/>
          <w:sz w:val="20"/>
          <w:szCs w:val="20"/>
        </w:rPr>
        <w:t xml:space="preserve">Keep the historical versions</w:t>
      </w:r>
    </w:p>
    <w:p>
      <w:pPr>
        <w:spacing w:after="60" w:line="264"/>
        <w:jc w:val="both"/>
      </w:pPr>
      <w:r>
        <w:rPr>
          <w:rFonts w:ascii="Calibri" w:cs="Calibri" w:eastAsia="Calibri" w:hAnsi="Calibri"/>
          <w:sz w:val="19"/>
          <w:szCs w:val="19"/>
        </w:rPr>
        <w:t xml:space="preserve">A dated cap table at each financing, retained alongside the resolutions, makes future diligence straightforward and lets anyone reconstruct how the position evolved. Overwriting a single live file loses that entirely.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under the Companies Act 1967, the private company member limit, stamp duty on transfers and controller register obligations all change — have the cap table reviewed alongside the statutory registers by a company secretary before any financing.</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2026-08-22T06:55:31.714Z</dcterms:created>
  <dcterms:modified xsi:type="dcterms:W3CDTF">2026-08-22T06:55:31.714Z</dcterms:modified>
</cp:coreProperties>
</file>

<file path=docProps/custom.xml><?xml version="1.0" encoding="utf-8"?>
<Properties xmlns="http://schemas.openxmlformats.org/officeDocument/2006/custom-properties" xmlns:vt="http://schemas.openxmlformats.org/officeDocument/2006/docPropsVTypes"/>
</file>