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BORROWING AND SECURITY</w:t>
      </w:r>
    </w:p>
    <w:p>
      <w:pPr>
        <w:spacing w:after="260"/>
        <w:jc w:val="center"/>
      </w:pPr>
      <w:r>
        <w:rPr>
          <w:rFonts w:ascii="Calibri" w:cs="Calibri" w:eastAsia="Calibri" w:hAnsi="Calibri"/>
          <w:i/>
          <w:iCs/>
          <w:color w:val="6E7480"/>
          <w:sz w:val="19"/>
          <w:szCs w:val="19"/>
        </w:rPr>
        <w:t xml:space="preserve">Board approval, execution and charge registration</w:t>
      </w:r>
    </w:p>
    <w:p>
      <w:pPr>
        <w:spacing w:after="180" w:before="0" w:line="276"/>
        <w:jc w:val="both"/>
      </w:pPr>
      <w:r>
        <w:rPr>
          <w:rFonts w:ascii="Calibri" w:cs="Calibri" w:eastAsia="Calibri" w:hAnsi="Calibri"/>
          <w:i/>
          <w:iCs/>
          <w:color w:val="6E7480"/>
          <w:sz w:val="21"/>
          <w:szCs w:val="21"/>
        </w:rPr>
        <w:t xml:space="preserve">One deadline dominates this process. A registrable charge must be lodged with the Registrar within the prescribed period, and a charge not registered in time is </w:t>
      </w:r>
      <w:r>
        <w:rPr>
          <w:rFonts w:ascii="Calibri" w:cs="Calibri" w:eastAsia="Calibri" w:hAnsi="Calibri"/>
          <w:b/>
          <w:bCs/>
          <w:i/>
          <w:iCs/>
          <w:color w:val="6E7480"/>
          <w:sz w:val="21"/>
          <w:szCs w:val="21"/>
        </w:rPr>
        <w:t xml:space="preserve">void against the liquidator and creditors</w:t>
      </w:r>
      <w:r>
        <w:rPr>
          <w:rFonts w:ascii="Calibri" w:cs="Calibri" w:eastAsia="Calibri" w:hAnsi="Calibri"/>
          <w:i/>
          <w:iCs/>
          <w:color w:val="6E7480"/>
          <w:sz w:val="21"/>
          <w:szCs w:val="21"/>
        </w:rPr>
        <w:t xml:space="preserve"> — the debt survives, the security does not. Lenders normally handle it; the company should never assume so.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Lender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Facility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 loan / Revolving / Overdraft / Trade finance / Equipment financing]</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amount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 </w:t>
            </w:r>
            <w:r>
              <w:rPr>
                <w:rFonts w:ascii="Calibri" w:cs="Calibri" w:eastAsia="Calibri" w:hAnsi="Calibri"/>
                <w:b/>
                <w:bCs/>
                <w:sz w:val="19"/>
                <w:szCs w:val="19"/>
              </w:rPr>
              <w:t xml:space="preserve">[fixed / floating over ______]</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r>
              <w:rPr>
                <w:rFonts w:ascii="Calibri" w:cs="Calibri" w:eastAsia="Calibri" w:hAnsi="Calibri"/>
                <w:sz w:val="19"/>
                <w:szCs w:val="19"/>
              </w:rPr>
              <w:t xml:space="preserve">, maturing </w:t>
            </w: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granted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[Fixed charge over ______ / Floating charge over undertaking / Debenture / None]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Guarantees given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[Corporate guarantee by ______ / Personal guarantee by ______ / None]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Charge registration due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within the prescribed period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  Reference: </w:t>
            </w:r>
            <w:r>
              <w:rPr>
                <w:rFonts w:ascii="Calibri" w:cs="Calibri" w:eastAsia="Calibri" w:hAnsi="Calibri"/>
                <w:b/>
                <w:bCs/>
                <w:sz w:val="19"/>
                <w:szCs w:val="19"/>
              </w:rPr>
              <w:t xml:space="preserve">[REF]</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Interested director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None]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APPROVING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constitution permits borrowing and the grant of security on these terms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borrowing limit in the constitution or shareholders’ agreement is not exceeded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investor consent or reserved matter approval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Existing facilities reviewed for negative pledge or cross-default clauses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Assets to be charged are not already subject to a prior charge, or consent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Company can service the facility — cash flow projection prepared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satisfied the Company is and will remain able to pay its debts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director interest declared before the resolution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Financial assistance</w:t>
            </w:r>
            <w:r>
              <w:rPr>
                <w:rFonts w:ascii="Calibri" w:cs="Calibri" w:eastAsia="Calibri" w:hAnsi="Calibri"/>
                <w:sz w:val="18"/>
                <w:szCs w:val="18"/>
              </w:rPr>
              <w:t xml:space="preserve"> restrictions considered where the borrowing relates to an acquisition of the Company’s own shares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Loans to directors and connected persons restrictions considered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guarantees understood by the individuals giving them, with independent advice taken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Charge registration responsibility agreed in writing with the lender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RESOLUTION</w:t>
      </w:r>
    </w:p>
    <w:p>
      <w:pPr>
        <w:spacing w:after="120" w:before="0" w:line="276"/>
        <w:jc w:val="both"/>
      </w:pPr>
      <w:r>
        <w:rPr>
          <w:rFonts w:ascii="Calibri" w:cs="Calibri" w:eastAsia="Calibri" w:hAnsi="Calibri"/>
          <w:b/>
          <w:bCs/>
          <w:sz w:val="21"/>
          <w:szCs w:val="21"/>
        </w:rPr>
        <w:t xml:space="preserve">IT WAS NOTED</w:t>
      </w:r>
      <w:r>
        <w:rPr>
          <w:rFonts w:ascii="Calibri" w:cs="Calibri" w:eastAsia="Calibri" w:hAnsi="Calibri"/>
          <w:sz w:val="21"/>
          <w:szCs w:val="21"/>
        </w:rPr>
        <w:t xml:space="preserve"> that the Company requires funding for </w:t>
      </w:r>
      <w:r>
        <w:rPr>
          <w:rFonts w:ascii="Calibri" w:cs="Calibri" w:eastAsia="Calibri" w:hAnsi="Calibri"/>
          <w:b/>
          <w:bCs/>
          <w:sz w:val="21"/>
          <w:szCs w:val="21"/>
        </w:rPr>
        <w:t xml:space="preserve">[PURPOSE]</w:t>
      </w:r>
      <w:r>
        <w:rPr>
          <w:rFonts w:ascii="Calibri" w:cs="Calibri" w:eastAsia="Calibri" w:hAnsi="Calibri"/>
          <w:sz w:val="21"/>
          <w:szCs w:val="21"/>
        </w:rPr>
        <w:t xml:space="preserve">, that a facility has been offered by </w:t>
      </w:r>
      <w:r>
        <w:rPr>
          <w:rFonts w:ascii="Calibri" w:cs="Calibri" w:eastAsia="Calibri" w:hAnsi="Calibri"/>
          <w:b/>
          <w:bCs/>
          <w:sz w:val="21"/>
          <w:szCs w:val="21"/>
        </w:rPr>
        <w:t xml:space="preserve">[LENDER]</w:t>
      </w:r>
      <w:r>
        <w:rPr>
          <w:rFonts w:ascii="Calibri" w:cs="Calibri" w:eastAsia="Calibri" w:hAnsi="Calibri"/>
          <w:sz w:val="21"/>
          <w:szCs w:val="21"/>
        </w:rPr>
        <w:t xml:space="preserve"> on the terms set out in the </w:t>
      </w:r>
      <w:r>
        <w:rPr>
          <w:rFonts w:ascii="Calibri" w:cs="Calibri" w:eastAsia="Calibri" w:hAnsi="Calibri"/>
          <w:b/>
          <w:bCs/>
          <w:sz w:val="21"/>
          <w:szCs w:val="21"/>
        </w:rPr>
        <w:t xml:space="preserve">[facility letter / loan agreement]</w:t>
      </w:r>
      <w:r>
        <w:rPr>
          <w:rFonts w:ascii="Calibri" w:cs="Calibri" w:eastAsia="Calibri" w:hAnsi="Calibri"/>
          <w:sz w:val="21"/>
          <w:szCs w:val="21"/>
        </w:rPr>
        <w:t xml:space="preserve"> dated </w:t>
      </w:r>
      <w:r>
        <w:rPr>
          <w:rFonts w:ascii="Calibri" w:cs="Calibri" w:eastAsia="Calibri" w:hAnsi="Calibri"/>
          <w:b/>
          <w:bCs/>
          <w:sz w:val="21"/>
          <w:szCs w:val="21"/>
        </w:rPr>
        <w:t xml:space="preserve">[DATE]</w:t>
      </w:r>
      <w:r>
        <w:rPr>
          <w:rFonts w:ascii="Calibri" w:cs="Calibri" w:eastAsia="Calibri" w:hAnsi="Calibri"/>
          <w:sz w:val="21"/>
          <w:szCs w:val="21"/>
        </w:rPr>
        <w:t xml:space="preserve"> circulated with this resolution, and that </w:t>
      </w:r>
      <w:r>
        <w:rPr>
          <w:rFonts w:ascii="Calibri" w:cs="Calibri" w:eastAsia="Calibri" w:hAnsi="Calibri"/>
          <w:b/>
          <w:bCs/>
          <w:sz w:val="21"/>
          <w:szCs w:val="21"/>
        </w:rPr>
        <w:t xml:space="preserve">[NAME]</w:t>
      </w:r>
      <w:r>
        <w:rPr>
          <w:rFonts w:ascii="Calibri" w:cs="Calibri" w:eastAsia="Calibri" w:hAnsi="Calibri"/>
          <w:sz w:val="21"/>
          <w:szCs w:val="21"/>
        </w:rPr>
        <w:t xml:space="preserve"> declared an interest in the transaction and </w:t>
      </w:r>
      <w:r>
        <w:rPr>
          <w:rFonts w:ascii="Calibri" w:cs="Calibri" w:eastAsia="Calibri" w:hAnsi="Calibri"/>
          <w:b/>
          <w:bCs/>
          <w:sz w:val="21"/>
          <w:szCs w:val="21"/>
        </w:rPr>
        <w:t xml:space="preserve">[abstained / did not vote]</w:t>
      </w:r>
      <w:r>
        <w:rPr>
          <w:rFonts w:ascii="Calibri" w:cs="Calibri" w:eastAsia="Calibri" w:hAnsi="Calibri"/>
          <w:sz w:val="21"/>
          <w:szCs w:val="21"/>
        </w:rPr>
        <w:t xml:space="preserve">.</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Company borrow from </w:t>
      </w:r>
      <w:r>
        <w:rPr>
          <w:rFonts w:ascii="Calibri" w:cs="Calibri" w:eastAsia="Calibri" w:hAnsi="Calibri"/>
          <w:b/>
          <w:bCs/>
          <w:sz w:val="21"/>
          <w:szCs w:val="21"/>
        </w:rPr>
        <w:t xml:space="preserve">[LENDER]</w:t>
      </w:r>
      <w:r>
        <w:rPr>
          <w:rFonts w:ascii="Calibri" w:cs="Calibri" w:eastAsia="Calibri" w:hAnsi="Calibri"/>
          <w:sz w:val="21"/>
          <w:szCs w:val="21"/>
        </w:rPr>
        <w:t xml:space="preserve"> a sum not exceeding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on the terms of the </w:t>
      </w:r>
      <w:r>
        <w:rPr>
          <w:rFonts w:ascii="Calibri" w:cs="Calibri" w:eastAsia="Calibri" w:hAnsi="Calibri"/>
          <w:b/>
          <w:bCs/>
          <w:sz w:val="21"/>
          <w:szCs w:val="21"/>
        </w:rPr>
        <w:t xml:space="preserve">[facility letter / loan agreement]</w:t>
      </w:r>
      <w:r>
        <w:rPr>
          <w:rFonts w:ascii="Calibri" w:cs="Calibri" w:eastAsia="Calibri" w:hAnsi="Calibri"/>
          <w:sz w:val="21"/>
          <w:szCs w:val="21"/>
        </w:rPr>
        <w:t xml:space="preserve"> dated </w:t>
      </w:r>
      <w:r>
        <w:rPr>
          <w:rFonts w:ascii="Calibri" w:cs="Calibri" w:eastAsia="Calibri" w:hAnsi="Calibri"/>
          <w:b/>
          <w:bCs/>
          <w:sz w:val="21"/>
          <w:szCs w:val="21"/>
        </w:rPr>
        <w:t xml:space="preserve">[DATE]</w:t>
      </w:r>
      <w:r>
        <w:rPr>
          <w:rFonts w:ascii="Calibri" w:cs="Calibri" w:eastAsia="Calibri" w:hAnsi="Calibri"/>
          <w:sz w:val="21"/>
          <w:szCs w:val="21"/>
        </w:rPr>
        <w:t xml:space="preserve">, and that those terms be and are hereby approved;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Company grant to the Lender </w:t>
      </w:r>
      <w:r>
        <w:rPr>
          <w:rFonts w:ascii="Calibri" w:cs="Calibri" w:eastAsia="Calibri" w:hAnsi="Calibri"/>
          <w:b/>
          <w:bCs/>
          <w:sz w:val="21"/>
          <w:szCs w:val="21"/>
        </w:rPr>
        <w:t xml:space="preserve">[DESCRIBE THE SECURITY — a fixed charge over ______, a floating charge over the undertaking and assets of the Company, an assignment of ______]</w:t>
      </w:r>
      <w:r>
        <w:rPr>
          <w:rFonts w:ascii="Calibri" w:cs="Calibri" w:eastAsia="Calibri" w:hAnsi="Calibri"/>
          <w:sz w:val="21"/>
          <w:szCs w:val="21"/>
        </w:rPr>
        <w:t xml:space="preserve"> as security for the facility;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[Where a guarantee is given]</w:t>
      </w:r>
      <w:r>
        <w:rPr>
          <w:rFonts w:ascii="Calibri" w:cs="Calibri" w:eastAsia="Calibri" w:hAnsi="Calibri"/>
          <w:sz w:val="21"/>
          <w:szCs w:val="21"/>
        </w:rPr>
        <w:t xml:space="preserve"> the Company give a guarantee in favour of </w:t>
      </w:r>
      <w:r>
        <w:rPr>
          <w:rFonts w:ascii="Calibri" w:cs="Calibri" w:eastAsia="Calibri" w:hAnsi="Calibri"/>
          <w:b/>
          <w:bCs/>
          <w:sz w:val="21"/>
          <w:szCs w:val="21"/>
        </w:rPr>
        <w:t xml:space="preserve">[BENEFICIARY]</w:t>
      </w:r>
      <w:r>
        <w:rPr>
          <w:rFonts w:ascii="Calibri" w:cs="Calibri" w:eastAsia="Calibri" w:hAnsi="Calibri"/>
          <w:sz w:val="21"/>
          <w:szCs w:val="21"/>
        </w:rPr>
        <w:t xml:space="preserve"> in respect of </w:t>
      </w:r>
      <w:r>
        <w:rPr>
          <w:rFonts w:ascii="Calibri" w:cs="Calibri" w:eastAsia="Calibri" w:hAnsi="Calibri"/>
          <w:b/>
          <w:bCs/>
          <w:sz w:val="21"/>
          <w:szCs w:val="21"/>
        </w:rPr>
        <w:t xml:space="preserve">[OBLIGATIONS]</w:t>
      </w:r>
      <w:r>
        <w:rPr>
          <w:rFonts w:ascii="Calibri" w:cs="Calibri" w:eastAsia="Calibri" w:hAnsi="Calibri"/>
          <w:sz w:val="21"/>
          <w:szCs w:val="21"/>
        </w:rPr>
        <w:t xml:space="preserve">, the directors being satisfied that giving the guarantee is in the commercial interests of the Company;</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directors, having considered the financial position of the Company and the projections presented, are satisfied that the Company is able to pay its debts as they fall due and will remain so after entering into the facility;</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w:t>
      </w:r>
      <w:r>
        <w:rPr>
          <w:rFonts w:ascii="Calibri" w:cs="Calibri" w:eastAsia="Calibri" w:hAnsi="Calibri"/>
          <w:b/>
          <w:bCs/>
          <w:sz w:val="21"/>
          <w:szCs w:val="21"/>
        </w:rPr>
        <w:t xml:space="preserve">[one director / two directors]</w:t>
      </w:r>
      <w:r>
        <w:rPr>
          <w:rFonts w:ascii="Calibri" w:cs="Calibri" w:eastAsia="Calibri" w:hAnsi="Calibri"/>
          <w:sz w:val="21"/>
          <w:szCs w:val="21"/>
        </w:rPr>
        <w:t xml:space="preserve"> be authorised to execute the facility documents, the security documents and any ancillary document, and to affix the common seal where required;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w:t>
      </w:r>
      <w:r>
        <w:rPr>
          <w:rFonts w:ascii="Calibri" w:cs="Calibri" w:eastAsia="Calibri" w:hAnsi="Calibri"/>
          <w:b/>
          <w:bCs/>
          <w:sz w:val="21"/>
          <w:szCs w:val="21"/>
        </w:rPr>
        <w:t xml:space="preserve">charge be lodged for registration with the Registrar within the prescribed period</w:t>
      </w:r>
      <w:r>
        <w:rPr>
          <w:rFonts w:ascii="Calibri" w:cs="Calibri" w:eastAsia="Calibri" w:hAnsi="Calibri"/>
          <w:sz w:val="21"/>
          <w:szCs w:val="21"/>
        </w:rPr>
        <w:t xml:space="preserve">, and </w:t>
      </w:r>
      <w:r>
        <w:rPr>
          <w:rFonts w:ascii="Calibri" w:cs="Calibri" w:eastAsia="Calibri" w:hAnsi="Calibri"/>
          <w:b/>
          <w:bCs/>
          <w:sz w:val="21"/>
          <w:szCs w:val="21"/>
        </w:rPr>
        <w:t xml:space="preserve">[NAME]</w:t>
      </w:r>
      <w:r>
        <w:rPr>
          <w:rFonts w:ascii="Calibri" w:cs="Calibri" w:eastAsia="Calibri" w:hAnsi="Calibri"/>
          <w:sz w:val="21"/>
          <w:szCs w:val="21"/>
        </w:rPr>
        <w:t xml:space="preserve"> be responsible for confirming that this has been done;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the register of charges be updated.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CHARGE REGISTRATION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charge of a registrable type created by the Company must be lodged with the Registrar within the prescribed period from creation.</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A registrable charge not lodged within the period is void against the liquidator and any creditor of the Company.</w:t>
      </w:r>
      <w:r>
        <w:rPr>
          <w:rFonts w:ascii="Calibri" w:cs="Calibri" w:eastAsia="Calibri" w:hAnsi="Calibri"/>
          <w:sz w:val="21"/>
          <w:szCs w:val="21"/>
        </w:rPr>
        <w:t xml:space="preserve"> The debt remains payable; the security is lost.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Registrable charges include, among others, a floating charge over the undertaking or property of the Company, a charge on book debts, a charge on land or an interest in land, a charge on shares of a subsidiary, and a charge on certain other assets. </w:t>
      </w:r>
      <w:r>
        <w:rPr>
          <w:rFonts w:ascii="Calibri" w:cs="Calibri" w:eastAsia="Calibri" w:hAnsi="Calibri"/>
          <w:i/>
          <w:iCs/>
          <w:sz w:val="21"/>
          <w:szCs w:val="21"/>
        </w:rPr>
        <w:t xml:space="preserve">Confirm the current list — not every security interest is registrable, and some are covered by other regimes.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Extension of time to register is possible only by court order, on limited grounds. It is not a routine remedy.</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On repayment, a memorandum of satisfaction should be lodged so that the register reflects the discharge. </w:t>
      </w:r>
      <w:r>
        <w:rPr>
          <w:rFonts w:ascii="Calibri" w:cs="Calibri" w:eastAsia="Calibri" w:hAnsi="Calibri"/>
          <w:i/>
          <w:iCs/>
          <w:sz w:val="21"/>
          <w:szCs w:val="21"/>
        </w:rPr>
        <w:t xml:space="preserve">An undischarged charge on the record obstructs future borrowing and is a standard due diligence query.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2120"/>
        <w:gridCol w:w="1156"/>
        <w:gridCol w:w="135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Deadline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Security document executed and dated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completion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in writing whether the lender or the Company lodges the charge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completion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Charge lodged with the Registrar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Within the prescribed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confirmed and the record checked for accuracy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lodgement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of charges updated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registration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Copies of the instrument kept at the registered office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registration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Facility recorded in the accounts and disclosed in the financial statements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Next reporting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Covenants diarised for monitoring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completion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Memorandum of satisfaction lodged on repayment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discharge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4. COVENANT MONITORING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2505"/>
        <w:gridCol w:w="1349"/>
        <w:gridCol w:w="1927"/>
        <w:gridCol w:w="1352"/>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Covenant</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Tested</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Current position</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Headroom</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[Financial covenant — e.g. leverage]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[RATIO]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[Quarterly]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[ACTUAL]</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[Financial covenant — e.g. interest cover]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[RATIO]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[Quarterly]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[ACTUAL]</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Negative pledge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further security without consent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Restriction on disposals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[THRESHOLD]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Restriction on distributions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control</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or mandatory prepayment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any change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Information undertakings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[Accounts within ______ days]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[Periodic]</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Cross-default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Default under another facility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A breach of an information undertaking — late accounts — is a technical default that can trigger cross-default across every other facility. It is the most common and most avoidable default event.</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Register the charge, or lose the security</w:t>
      </w:r>
    </w:p>
    <w:p>
      <w:pPr>
        <w:spacing w:after="60" w:line="264"/>
        <w:jc w:val="both"/>
      </w:pPr>
      <w:r>
        <w:rPr>
          <w:rFonts w:ascii="Calibri" w:cs="Calibri" w:eastAsia="Calibri" w:hAnsi="Calibri"/>
          <w:sz w:val="19"/>
          <w:szCs w:val="19"/>
        </w:rPr>
        <w:t xml:space="preserve">A registrable charge not lodged within the prescribed period is void against the liquidator and creditors. The company still owes the money; the lender simply ranks as unsecured. Extension requires a court order on limited grounds. Nothing else in this document matters as much.</w:t>
      </w:r>
    </w:p>
    <w:p>
      <w:pPr>
        <w:keepNext/>
        <w:spacing w:after="40" w:before="140"/>
      </w:pPr>
      <w:r>
        <w:rPr>
          <w:rFonts w:ascii="Calibri" w:cs="Calibri" w:eastAsia="Calibri" w:hAnsi="Calibri"/>
          <w:b/>
          <w:bCs/>
          <w:color w:val="14161B"/>
          <w:sz w:val="20"/>
          <w:szCs w:val="20"/>
        </w:rPr>
        <w:t xml:space="preserve">Agree in writing who lodges it</w:t>
      </w:r>
    </w:p>
    <w:p>
      <w:pPr>
        <w:spacing w:after="60" w:line="264"/>
        <w:jc w:val="both"/>
      </w:pPr>
      <w:r>
        <w:rPr>
          <w:rFonts w:ascii="Calibri" w:cs="Calibri" w:eastAsia="Calibri" w:hAnsi="Calibri"/>
          <w:sz w:val="19"/>
          <w:szCs w:val="19"/>
        </w:rPr>
        <w:t xml:space="preserve">Lenders usually handle registration, and companies usually assume so. Where each assumes the other is doing it, nobody does. Step 2 requires the position to be confirmed in writing before completion, and step 4 requires the company to verify registration actually happened rather than take it on trust.</w:t>
      </w:r>
    </w:p>
    <w:p>
      <w:pPr>
        <w:keepNext/>
        <w:spacing w:after="40" w:before="140"/>
      </w:pPr>
      <w:r>
        <w:rPr>
          <w:rFonts w:ascii="Calibri" w:cs="Calibri" w:eastAsia="Calibri" w:hAnsi="Calibri"/>
          <w:b/>
          <w:bCs/>
          <w:color w:val="14161B"/>
          <w:sz w:val="20"/>
          <w:szCs w:val="20"/>
        </w:rPr>
        <w:t xml:space="preserve">Check for negative pledges first</w:t>
      </w:r>
    </w:p>
    <w:p>
      <w:pPr>
        <w:spacing w:after="60" w:line="264"/>
        <w:jc w:val="both"/>
      </w:pPr>
      <w:r>
        <w:rPr>
          <w:rFonts w:ascii="Calibri" w:cs="Calibri" w:eastAsia="Calibri" w:hAnsi="Calibri"/>
          <w:sz w:val="19"/>
          <w:szCs w:val="19"/>
        </w:rPr>
        <w:t xml:space="preserve">Existing facilities frequently prohibit granting further security without consent. Granting a new charge in breach triggers default under the existing facility, and cross-default provisions can then cascade across every other arrangement. Check 4 comes before the resolution for that reason.</w:t>
      </w:r>
    </w:p>
    <w:p>
      <w:pPr>
        <w:keepNext/>
        <w:spacing w:after="40" w:before="140"/>
      </w:pPr>
      <w:r>
        <w:rPr>
          <w:rFonts w:ascii="Calibri" w:cs="Calibri" w:eastAsia="Calibri" w:hAnsi="Calibri"/>
          <w:b/>
          <w:bCs/>
          <w:color w:val="14161B"/>
          <w:sz w:val="20"/>
          <w:szCs w:val="20"/>
        </w:rPr>
        <w:t xml:space="preserve">Declare director interests before the resolution</w:t>
      </w:r>
    </w:p>
    <w:p>
      <w:pPr>
        <w:spacing w:after="60" w:line="264"/>
        <w:jc w:val="both"/>
      </w:pPr>
      <w:r>
        <w:rPr>
          <w:rFonts w:ascii="Calibri" w:cs="Calibri" w:eastAsia="Calibri" w:hAnsi="Calibri"/>
          <w:sz w:val="19"/>
          <w:szCs w:val="19"/>
        </w:rPr>
        <w:t xml:space="preserve">Where a director has an interest — commonly, giving a personal guarantee, or the lender being connected to them — the interest must be declared before the resolution, and whether they may vote depends on the constitution. Recording it afterwards does not cure it.</w:t>
      </w:r>
    </w:p>
    <w:p>
      <w:pPr>
        <w:keepNext/>
        <w:spacing w:after="40" w:before="140"/>
      </w:pPr>
      <w:r>
        <w:rPr>
          <w:rFonts w:ascii="Calibri" w:cs="Calibri" w:eastAsia="Calibri" w:hAnsi="Calibri"/>
          <w:b/>
          <w:bCs/>
          <w:color w:val="14161B"/>
          <w:sz w:val="20"/>
          <w:szCs w:val="20"/>
        </w:rPr>
        <w:t xml:space="preserve">Personal guarantees deserve independent advice</w:t>
      </w:r>
    </w:p>
    <w:p>
      <w:pPr>
        <w:spacing w:after="60" w:line="264"/>
        <w:jc w:val="both"/>
      </w:pPr>
      <w:r>
        <w:rPr>
          <w:rFonts w:ascii="Calibri" w:cs="Calibri" w:eastAsia="Calibri" w:hAnsi="Calibri"/>
          <w:sz w:val="19"/>
          <w:szCs w:val="19"/>
        </w:rPr>
        <w:t xml:space="preserve">Founders sign personal guarantees routinely and frequently without appreciating that liability survives their departure from the company, that it may be unlimited, and that it can extend to future facilities under an all-monies clause. The company should encourage independent advice rather than treat it as a formality.</w:t>
      </w:r>
    </w:p>
    <w:p>
      <w:pPr>
        <w:keepNext/>
        <w:spacing w:after="40" w:before="140"/>
      </w:pPr>
      <w:r>
        <w:rPr>
          <w:rFonts w:ascii="Calibri" w:cs="Calibri" w:eastAsia="Calibri" w:hAnsi="Calibri"/>
          <w:b/>
          <w:bCs/>
          <w:color w:val="14161B"/>
          <w:sz w:val="20"/>
          <w:szCs w:val="20"/>
        </w:rPr>
        <w:t xml:space="preserve">Guarantees given by the company need commercial benefit</w:t>
      </w:r>
    </w:p>
    <w:p>
      <w:pPr>
        <w:spacing w:after="60" w:line="264"/>
        <w:jc w:val="both"/>
      </w:pPr>
      <w:r>
        <w:rPr>
          <w:rFonts w:ascii="Calibri" w:cs="Calibri" w:eastAsia="Calibri" w:hAnsi="Calibri"/>
          <w:sz w:val="19"/>
          <w:szCs w:val="19"/>
        </w:rPr>
        <w:t xml:space="preserve">Where the company guarantees the obligations of another entity — a parent, a subsidiary, a related company — the directors must be satisfied it is in the commercial interests of the company giving it. Upstream guarantees in group structures are the ones most likely to be questioned.</w:t>
      </w:r>
    </w:p>
    <w:p>
      <w:pPr>
        <w:keepNext/>
        <w:spacing w:after="40" w:before="140"/>
      </w:pPr>
      <w:r>
        <w:rPr>
          <w:rFonts w:ascii="Calibri" w:cs="Calibri" w:eastAsia="Calibri" w:hAnsi="Calibri"/>
          <w:b/>
          <w:bCs/>
          <w:color w:val="14161B"/>
          <w:sz w:val="20"/>
          <w:szCs w:val="20"/>
        </w:rPr>
        <w:t xml:space="preserve">Solvency is a real question, not a recital</w:t>
      </w:r>
    </w:p>
    <w:p>
      <w:pPr>
        <w:spacing w:after="60" w:line="264"/>
        <w:jc w:val="both"/>
      </w:pPr>
      <w:r>
        <w:rPr>
          <w:rFonts w:ascii="Calibri" w:cs="Calibri" w:eastAsia="Calibri" w:hAnsi="Calibri"/>
          <w:sz w:val="19"/>
          <w:szCs w:val="19"/>
        </w:rPr>
        <w:t xml:space="preserve">Limb (d) records the directors’ satisfaction as to solvency. Directors who allow a company to incur debt when they know or ought to know it cannot be repaid face personal exposure. Prepare the cash flow projection referred to in check 6, and keep it with the resolution.</w:t>
      </w:r>
    </w:p>
    <w:p>
      <w:pPr>
        <w:keepNext/>
        <w:spacing w:after="40" w:before="140"/>
      </w:pPr>
      <w:r>
        <w:rPr>
          <w:rFonts w:ascii="Calibri" w:cs="Calibri" w:eastAsia="Calibri" w:hAnsi="Calibri"/>
          <w:b/>
          <w:bCs/>
          <w:color w:val="14161B"/>
          <w:sz w:val="20"/>
          <w:szCs w:val="20"/>
        </w:rPr>
        <w:t xml:space="preserve">Financial assistance restrictions</w:t>
      </w:r>
    </w:p>
    <w:p>
      <w:pPr>
        <w:spacing w:after="60" w:line="264"/>
        <w:jc w:val="both"/>
      </w:pPr>
      <w:r>
        <w:rPr>
          <w:rFonts w:ascii="Calibri" w:cs="Calibri" w:eastAsia="Calibri" w:hAnsi="Calibri"/>
          <w:sz w:val="19"/>
          <w:szCs w:val="19"/>
        </w:rPr>
        <w:t xml:space="preserve">Where borrowing is connected to the acquisition of the company’s own shares — including some management buyouts and share buybacks — restrictions on financial assistance may apply, with specific procedures for permitted transactions. Take advice; this is not something to work through from first principles.</w:t>
      </w:r>
    </w:p>
    <w:p>
      <w:pPr>
        <w:keepNext/>
        <w:spacing w:after="40" w:before="140"/>
      </w:pPr>
      <w:r>
        <w:rPr>
          <w:rFonts w:ascii="Calibri" w:cs="Calibri" w:eastAsia="Calibri" w:hAnsi="Calibri"/>
          <w:b/>
          <w:bCs/>
          <w:color w:val="14161B"/>
          <w:sz w:val="20"/>
          <w:szCs w:val="20"/>
        </w:rPr>
        <w:t xml:space="preserve">Loans to directors are restricted</w:t>
      </w:r>
    </w:p>
    <w:p>
      <w:pPr>
        <w:spacing w:after="60" w:line="264"/>
        <w:jc w:val="both"/>
      </w:pPr>
      <w:r>
        <w:rPr>
          <w:rFonts w:ascii="Calibri" w:cs="Calibri" w:eastAsia="Calibri" w:hAnsi="Calibri"/>
          <w:sz w:val="19"/>
          <w:szCs w:val="19"/>
        </w:rPr>
        <w:t xml:space="preserve">The Companies Act restricts loans and quasi-loans to directors and connected persons, with exceptions. Owner-managed companies frequently run director current accounts without appreciating the restriction. Check 10 prompts the question.</w:t>
      </w:r>
    </w:p>
    <w:p>
      <w:pPr>
        <w:keepNext/>
        <w:spacing w:after="40" w:before="140"/>
      </w:pPr>
      <w:r>
        <w:rPr>
          <w:rFonts w:ascii="Calibri" w:cs="Calibri" w:eastAsia="Calibri" w:hAnsi="Calibri"/>
          <w:b/>
          <w:bCs/>
          <w:color w:val="14161B"/>
          <w:sz w:val="20"/>
          <w:szCs w:val="20"/>
        </w:rPr>
        <w:t xml:space="preserve">Late accounts are the usual default</w:t>
      </w:r>
    </w:p>
    <w:p>
      <w:pPr>
        <w:spacing w:after="60" w:line="264"/>
        <w:jc w:val="both"/>
      </w:pPr>
      <w:r>
        <w:rPr>
          <w:rFonts w:ascii="Calibri" w:cs="Calibri" w:eastAsia="Calibri" w:hAnsi="Calibri"/>
          <w:sz w:val="19"/>
          <w:szCs w:val="19"/>
        </w:rPr>
        <w:t xml:space="preserve">Information undertakings requiring accounts within a set period are breached far more often than financial covenants, and a technical default is still a default that can trigger cross-default and repricing. Diarise the delivery dates alongside the covenant tests.</w:t>
      </w:r>
    </w:p>
    <w:p>
      <w:pPr>
        <w:keepNext/>
        <w:spacing w:after="40" w:before="140"/>
      </w:pPr>
      <w:r>
        <w:rPr>
          <w:rFonts w:ascii="Calibri" w:cs="Calibri" w:eastAsia="Calibri" w:hAnsi="Calibri"/>
          <w:b/>
          <w:bCs/>
          <w:color w:val="14161B"/>
          <w:sz w:val="20"/>
          <w:szCs w:val="20"/>
        </w:rPr>
        <w:t xml:space="preserve">Floating charges crystallise</w:t>
      </w:r>
    </w:p>
    <w:p>
      <w:pPr>
        <w:spacing w:after="60" w:line="264"/>
        <w:jc w:val="both"/>
      </w:pPr>
      <w:r>
        <w:rPr>
          <w:rFonts w:ascii="Calibri" w:cs="Calibri" w:eastAsia="Calibri" w:hAnsi="Calibri"/>
          <w:sz w:val="19"/>
          <w:szCs w:val="19"/>
        </w:rPr>
        <w:t xml:space="preserve">A floating charge over the undertaking permits the company to deal with the assets until crystallisation, typically on default or the appointment of a receiver. Directors should understand what triggers it, because trading normally after a crystallising event creates problems quickly.</w:t>
      </w:r>
    </w:p>
    <w:p>
      <w:pPr>
        <w:keepNext/>
        <w:spacing w:after="40" w:before="140"/>
      </w:pPr>
      <w:r>
        <w:rPr>
          <w:rFonts w:ascii="Calibri" w:cs="Calibri" w:eastAsia="Calibri" w:hAnsi="Calibri"/>
          <w:b/>
          <w:bCs/>
          <w:color w:val="14161B"/>
          <w:sz w:val="20"/>
          <w:szCs w:val="20"/>
        </w:rPr>
        <w:t xml:space="preserve">Discharge the charge on repayment</w:t>
      </w:r>
    </w:p>
    <w:p>
      <w:pPr>
        <w:spacing w:after="60" w:line="264"/>
        <w:jc w:val="both"/>
      </w:pPr>
      <w:r>
        <w:rPr>
          <w:rFonts w:ascii="Calibri" w:cs="Calibri" w:eastAsia="Calibri" w:hAnsi="Calibri"/>
          <w:sz w:val="19"/>
          <w:szCs w:val="19"/>
        </w:rPr>
        <w:t xml:space="preserve">An undischarged charge sitting on the public record after the debt is repaid obstructs later borrowing and appears in every due diligence exercise. Lodging the memorandum of satisfaction is a five-minute task that nobody owns unless assigned — step 9 assigns it.</w:t>
      </w:r>
    </w:p>
    <w:p>
      <w:pPr>
        <w:keepNext/>
        <w:spacing w:after="40" w:before="140"/>
      </w:pPr>
      <w:r>
        <w:rPr>
          <w:rFonts w:ascii="Calibri" w:cs="Calibri" w:eastAsia="Calibri" w:hAnsi="Calibri"/>
          <w:b/>
          <w:bCs/>
          <w:color w:val="14161B"/>
          <w:sz w:val="20"/>
          <w:szCs w:val="20"/>
        </w:rPr>
        <w:t xml:space="preserve">Keep the register of charges and copies</w:t>
      </w:r>
    </w:p>
    <w:p>
      <w:pPr>
        <w:spacing w:after="60" w:line="264"/>
        <w:jc w:val="both"/>
      </w:pPr>
      <w:r>
        <w:rPr>
          <w:rFonts w:ascii="Calibri" w:cs="Calibri" w:eastAsia="Calibri" w:hAnsi="Calibri"/>
          <w:sz w:val="19"/>
          <w:szCs w:val="19"/>
        </w:rPr>
        <w:t xml:space="preserve">The company must maintain a register of charges and keep copies of the instruments at the registered office. This is separate from the Registrar’s record and is frequently neglected in companies that outsource company secretarial work partially.</w:t>
      </w:r>
    </w:p>
    <w:p>
      <w:pPr>
        <w:keepNext/>
        <w:spacing w:after="40" w:before="140"/>
      </w:pPr>
      <w:r>
        <w:rPr>
          <w:rFonts w:ascii="Calibri" w:cs="Calibri" w:eastAsia="Calibri" w:hAnsi="Calibri"/>
          <w:b/>
          <w:bCs/>
          <w:color w:val="14161B"/>
          <w:sz w:val="20"/>
          <w:szCs w:val="20"/>
        </w:rPr>
        <w:t xml:space="preserve">Investor consent rights</w:t>
      </w:r>
    </w:p>
    <w:p>
      <w:pPr>
        <w:spacing w:after="60" w:line="264"/>
        <w:jc w:val="both"/>
      </w:pPr>
      <w:r>
        <w:rPr>
          <w:rFonts w:ascii="Calibri" w:cs="Calibri" w:eastAsia="Calibri" w:hAnsi="Calibri"/>
          <w:sz w:val="19"/>
          <w:szCs w:val="19"/>
        </w:rPr>
        <w:t xml:space="preserve">Where investors hold reserved matters, borrowing above a threshold and granting security are almost always among them. Approving a facility without the required consent is a breach of the shareholders’ agreement even if the constitution permits the borrowing.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Registration periods and registrable charge categories under the Companies Act 1967, financial assistance and director loan provisions all change — have security documents and charge registration handled by a corporate lawyer or company secretary, and never rely on an assumption about who is filing.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2026-08-22T06:55:30.216Z</dcterms:created>
  <dcterms:modified xsi:type="dcterms:W3CDTF">2026-08-22T06:55:30.216Z</dcterms:modified>
</cp:coreProperties>
</file>

<file path=docProps/custom.xml><?xml version="1.0" encoding="utf-8"?>
<Properties xmlns="http://schemas.openxmlformats.org/officeDocument/2006/custom-properties" xmlns:vt="http://schemas.openxmlformats.org/officeDocument/2006/docPropsVTypes"/>
</file>