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ANTI-HARASSMENT POLICY</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Singapore has no statutory internal committee, no prescribed inquiry timetable and no mandated composition for handling harassment. The Protection from Harassment Act gives victims civil and criminal remedies directly; the employer’s duty arises from the common law duty of care, the tripartite standards, and — once commenced — the Workplace Fairness Act. That means the process here is the employer’s to design, and to design well.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owner</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contacts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 and </w:t>
            </w: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 and to anyone at the workplace — see Clause 2</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w:t>
            </w:r>
          </w:p>
        </w:tc>
      </w:tr>
    </w:tbl>
    <w:p>
      <w:pPr>
        <w:spacing w:after="180"/>
      </w:pPr>
    </w:p>
    <w:p>
      <w:pPr>
        <w:keepNext/>
        <w:spacing w:after="120" w:before="280"/>
        <w:outlineLvl w:val="0"/>
      </w:pPr>
      <w:r>
        <w:rPr>
          <w:rFonts w:ascii="Calibri" w:cs="Calibri" w:eastAsia="Calibri" w:hAnsi="Calibri"/>
          <w:b/>
          <w:bCs/>
          <w:color w:val="14161B"/>
          <w:sz w:val="22"/>
          <w:szCs w:val="22"/>
        </w:rPr>
        <w:t xml:space="preserve">1. COMMITMENT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Every person at this workplace is entitled to be treated with dignity and respect. Harassment of any kind will not be tolerated, whoever the person responsible and whatever their seniority.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Company will take reasonable steps to prevent harassment, will provide clear routes to report it, will inquire into reports fairly and confidentially, and will act where a report is substantiated.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Nothing in this policy limits any right a person has in law, including the right to seek a protection order or to make a police report. The Company will support any person who chooses to pursue those remedies.</w:t>
      </w:r>
    </w:p>
    <w:p>
      <w:pPr>
        <w:keepNext/>
        <w:spacing w:after="120" w:before="280"/>
        <w:outlineLvl w:val="0"/>
      </w:pPr>
      <w:r>
        <w:rPr>
          <w:rFonts w:ascii="Calibri" w:cs="Calibri" w:eastAsia="Calibri" w:hAnsi="Calibri"/>
          <w:b/>
          <w:bCs/>
          <w:color w:val="14161B"/>
          <w:sz w:val="22"/>
          <w:szCs w:val="22"/>
        </w:rPr>
        <w:t xml:space="preserve">2. WHO THIS POLICY COVERS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This policy protects </w:t>
      </w:r>
      <w:r>
        <w:rPr>
          <w:rFonts w:ascii="Calibri" w:cs="Calibri" w:eastAsia="Calibri" w:hAnsi="Calibri"/>
          <w:b/>
          <w:bCs/>
          <w:sz w:val="21"/>
          <w:szCs w:val="21"/>
        </w:rPr>
        <w:t xml:space="preserve">every person at the workplace</w:t>
      </w:r>
      <w:r>
        <w:rPr>
          <w:rFonts w:ascii="Calibri" w:cs="Calibri" w:eastAsia="Calibri" w:hAnsi="Calibri"/>
          <w:sz w:val="21"/>
          <w:szCs w:val="21"/>
        </w:rPr>
        <w:t xml:space="preserve">, regardless of sex or gender, and regardless of whether they are employed by the Company — including employees, directors, contractors and their personnel, agency staff, interns, trainees, volunteers, and visitors.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It applies to conduct by any person at the workplace, including employees at every level, clients, customers, suppliers and visitors.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It applies wherever work is carried on or work relationships operate, including client premises, business travel, offsites, work-related social events, and electronic channels used for work, including messaging applications and social media where the conduct arises out of the work relationship.</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Where a report concerns conduct by a person the Company does not employ, the Company will still act — by raising it with that person’s employer, by changing arrangements to protect the person affected, or by ending the engagement.</w:t>
      </w:r>
    </w:p>
    <w:p>
      <w:pPr>
        <w:keepNext/>
        <w:spacing w:after="120" w:before="280"/>
        <w:outlineLvl w:val="0"/>
      </w:pPr>
      <w:r>
        <w:rPr>
          <w:rFonts w:ascii="Calibri" w:cs="Calibri" w:eastAsia="Calibri" w:hAnsi="Calibri"/>
          <w:b/>
          <w:bCs/>
          <w:color w:val="14161B"/>
          <w:sz w:val="22"/>
          <w:szCs w:val="22"/>
        </w:rPr>
        <w:t xml:space="preserve">3. WHAT HARASSMENT MEANS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Harassment includes using threatening, abusive or insulting words or behaviour, or making such communication, that causes or is likely to cause harassment, alarm or distress to another person.</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It includes, without limitation:</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Sexual harassment</w:t>
      </w:r>
      <w:r>
        <w:rPr>
          <w:rFonts w:ascii="Calibri" w:cs="Calibri" w:eastAsia="Calibri" w:hAnsi="Calibri"/>
          <w:sz w:val="21"/>
          <w:szCs w:val="21"/>
        </w:rPr>
        <w:t xml:space="preserve"> — unwelcome sexual advances; requests for sexual favours; unwanted physical contact; sexual comments, jokes or questions; displaying or circulating sexual images; persistent invitations after refusal; and conduct made explicitly or implicitly a condition of, or a factor in, an employment decision;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Bullying</w:t>
      </w:r>
      <w:r>
        <w:rPr>
          <w:rFonts w:ascii="Calibri" w:cs="Calibri" w:eastAsia="Calibri" w:hAnsi="Calibri"/>
          <w:sz w:val="21"/>
          <w:szCs w:val="21"/>
        </w:rPr>
        <w:t xml:space="preserve"> — persistent behaviour that intimidates, humiliates or undermines, including shouting, belittling, setting impossible demands, or persistent unwarranted criticism;</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Discriminatory harassment</w:t>
      </w:r>
      <w:r>
        <w:rPr>
          <w:rFonts w:ascii="Calibri" w:cs="Calibri" w:eastAsia="Calibri" w:hAnsi="Calibri"/>
          <w:sz w:val="21"/>
          <w:szCs w:val="21"/>
        </w:rPr>
        <w:t xml:space="preserve"> — conduct related to a protected characteristic, including age, nationality, sex, marital status, pregnancy, caregiving responsibilities, race, religion, language ability, disability or mental health condition;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Stalking</w:t>
      </w:r>
      <w:r>
        <w:rPr>
          <w:rFonts w:ascii="Calibri" w:cs="Calibri" w:eastAsia="Calibri" w:hAnsi="Calibri"/>
          <w:sz w:val="21"/>
          <w:szCs w:val="21"/>
        </w:rPr>
        <w:t xml:space="preserve"> — a course of conduct associated with stalking, including following a person, communicating persistently, loitering near their home or workplace, or keeping them under surveillance;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Online harassment</w:t>
      </w:r>
      <w:r>
        <w:rPr>
          <w:rFonts w:ascii="Calibri" w:cs="Calibri" w:eastAsia="Calibri" w:hAnsi="Calibri"/>
          <w:sz w:val="21"/>
          <w:szCs w:val="21"/>
        </w:rPr>
        <w:t xml:space="preserve"> — abusive, threatening or humiliating messages or posts, including on personal accounts where connected to the work relationship;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b/>
          <w:bCs/>
          <w:sz w:val="21"/>
          <w:szCs w:val="21"/>
        </w:rPr>
        <w:t xml:space="preserve">Victimisation</w:t>
      </w:r>
      <w:r>
        <w:rPr>
          <w:rFonts w:ascii="Calibri" w:cs="Calibri" w:eastAsia="Calibri" w:hAnsi="Calibri"/>
          <w:sz w:val="21"/>
          <w:szCs w:val="21"/>
        </w:rPr>
        <w:t xml:space="preserve"> — treating a person adversely because they reported harassment, assisted an inquiry or gave evidence.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Conduct is assessed by its effect on the person experiencing it, not only by the intention of the person responsible. That a remark was meant as a joke, or that no offence was intended, does not answer a report. A single incident can amount to harassment if sufficiently serious.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Reasonable and properly conducted management action — setting expectations, giving performance feedback, applying the disciplinary procedure — is not harassment, provided it is carried out fairly and respectfully.</w:t>
      </w:r>
    </w:p>
    <w:p>
      <w:pPr>
        <w:keepNext/>
        <w:spacing w:after="120" w:before="280"/>
        <w:outlineLvl w:val="0"/>
      </w:pPr>
      <w:r>
        <w:rPr>
          <w:rFonts w:ascii="Calibri" w:cs="Calibri" w:eastAsia="Calibri" w:hAnsi="Calibri"/>
          <w:b/>
          <w:bCs/>
          <w:color w:val="14161B"/>
          <w:sz w:val="22"/>
          <w:szCs w:val="22"/>
        </w:rPr>
        <w:t xml:space="preserve">4. REPORTING</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A person who experiences or witnesses harassment may report it to either of the reporting contacts named above, or to their manager. Two contacts are named so that a report can be made to someone unconnected with the matter.</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 report may be made orally or in writing. Where made orally, the contact will record it and confirm the record with the person.</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A person may speak to a contact confidentially, without committing to a formal report, to understand the options.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There is no fixed time limit for reporting. The Company recognises that people frequently do not report immediately, and delay will not of itself be held against a report.</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The Company will not require the person affected to confront the person responsible, or to mediate, as a condition of any inquiry.</w:t>
      </w:r>
    </w:p>
    <w:p>
      <w:pPr>
        <w:keepNext/>
        <w:spacing w:after="120" w:before="280"/>
        <w:outlineLvl w:val="0"/>
      </w:pPr>
      <w:r>
        <w:rPr>
          <w:rFonts w:ascii="Calibri" w:cs="Calibri" w:eastAsia="Calibri" w:hAnsi="Calibri"/>
          <w:b/>
          <w:bCs/>
          <w:color w:val="14161B"/>
          <w:sz w:val="22"/>
          <w:szCs w:val="22"/>
        </w:rPr>
        <w:t xml:space="preserve">5. IMMEDIATE SUPPORT AND INTERIM MEASURES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On receiving a report the Company will consider what is needed immediately to protect the person affected, and will discuss the options with them rather than imposing a measure.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Interim measures may include changing reporting lines, adjusting seating or shift arrangements, changing the allocation of work, providing leave, restricting contact between the parties, or suspending the person against whom the report is made pending inquiry.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Interim measures will not disadvantage the person who reported. Moving the person affected rather than the person responsible is to be avoided unless that is what they prefer.</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Company will inform the person of any support available, including </w:t>
      </w:r>
      <w:r>
        <w:rPr>
          <w:rFonts w:ascii="Calibri" w:cs="Calibri" w:eastAsia="Calibri" w:hAnsi="Calibri"/>
          <w:b/>
          <w:bCs/>
          <w:sz w:val="21"/>
          <w:szCs w:val="21"/>
        </w:rPr>
        <w:t xml:space="preserve">[employee assistance programme, counselling, medical support, time off]</w:t>
      </w:r>
      <w:r>
        <w:rPr>
          <w:rFonts w:ascii="Calibri" w:cs="Calibri" w:eastAsia="Calibri" w:hAnsi="Calibri"/>
          <w:sz w:val="21"/>
          <w:szCs w:val="21"/>
        </w:rPr>
        <w:t xml:space="preserve">, and how to access it.</w:t>
      </w:r>
    </w:p>
    <w:p>
      <w:pPr>
        <w:keepNext/>
        <w:spacing w:after="120" w:before="280"/>
        <w:outlineLvl w:val="0"/>
      </w:pPr>
      <w:r>
        <w:rPr>
          <w:rFonts w:ascii="Calibri" w:cs="Calibri" w:eastAsia="Calibri" w:hAnsi="Calibri"/>
          <w:b/>
          <w:bCs/>
          <w:color w:val="14161B"/>
          <w:sz w:val="22"/>
          <w:szCs w:val="22"/>
        </w:rPr>
        <w:t xml:space="preserve">6. INQUIRY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will inquire into every report promptly and fairly.</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person conducting the inquiry will not be the person against whom the report is made, a witness, or a person with a personal interest in the outcome. Where seniority or a small team makes independence difficult, the Company will appoint an external investigator.</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person against whom the report is made will be told the substance of the allegation and given a genuine opportunity to respond, in accordance with the due inquiry requirements applicable to any disciplinary matter.</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Both parties may be accompanied by a colleague at any meeting.</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inquiry will be completed within </w:t>
      </w:r>
      <w:r>
        <w:rPr>
          <w:rFonts w:ascii="Calibri" w:cs="Calibri" w:eastAsia="Calibri" w:hAnsi="Calibri"/>
          <w:b/>
          <w:bCs/>
          <w:sz w:val="21"/>
          <w:szCs w:val="21"/>
        </w:rPr>
        <w:t xml:space="preserve">[30]</w:t>
      </w:r>
      <w:r>
        <w:rPr>
          <w:rFonts w:ascii="Calibri" w:cs="Calibri" w:eastAsia="Calibri" w:hAnsi="Calibri"/>
          <w:b/>
          <w:bCs/>
          <w:sz w:val="21"/>
          <w:szCs w:val="21"/>
        </w:rPr>
        <w:t xml:space="preserve"> working days</w:t>
      </w:r>
      <w:r>
        <w:rPr>
          <w:rFonts w:ascii="Calibri" w:cs="Calibri" w:eastAsia="Calibri" w:hAnsi="Calibri"/>
          <w:sz w:val="21"/>
          <w:szCs w:val="21"/>
        </w:rPr>
        <w:t xml:space="preserve"> where practicable. Where it takes longer, both parties will be told and given a revised date.</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Findings will be made on the balance of probabilities, on the evidence, with reasons recorded.</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sz w:val="21"/>
          <w:szCs w:val="21"/>
        </w:rPr>
        <w:t xml:space="preserve">Both parties will be informed of the outcome in writing, so far as is appropriate having regard to confidentiality.</w:t>
      </w:r>
    </w:p>
    <w:p>
      <w:pPr>
        <w:keepNext/>
        <w:spacing w:after="120" w:before="280"/>
        <w:outlineLvl w:val="0"/>
      </w:pPr>
      <w:r>
        <w:rPr>
          <w:rFonts w:ascii="Calibri" w:cs="Calibri" w:eastAsia="Calibri" w:hAnsi="Calibri"/>
          <w:b/>
          <w:bCs/>
          <w:color w:val="14161B"/>
          <w:sz w:val="22"/>
          <w:szCs w:val="22"/>
        </w:rPr>
        <w:t xml:space="preserve">7. OUTCOMES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Where a report is substantiated, action will be taken under the disciplinary procedure, proportionate to the seriousness of the conduct, which may include a warning, final written warning, demotion, or dismissal.</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Company will also consider what should change beyond the individual case — in training, supervision, arrangements or culture — and will act on it.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Where a report is not substantiated, that does not mean it was made in bad faith. </w:t>
      </w:r>
      <w:r>
        <w:rPr>
          <w:rFonts w:ascii="Calibri" w:cs="Calibri" w:eastAsia="Calibri" w:hAnsi="Calibri"/>
          <w:b/>
          <w:bCs/>
          <w:sz w:val="21"/>
          <w:szCs w:val="21"/>
        </w:rPr>
        <w:t xml:space="preserve">No action will be taken against a person merely because their report could not be proved.</w:t>
      </w:r>
      <w:r>
        <w:rPr>
          <w:rFonts w:ascii="Calibri" w:cs="Calibri" w:eastAsia="Calibri" w:hAnsi="Calibri"/>
          <w:sz w:val="21"/>
          <w:szCs w:val="21"/>
        </w:rPr>
        <w:t xml:space="preserve"> Action for a deliberately false report requires bad faith to be separately established through its own inquiry.</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Company will check with the person who reported, after a reasonable interval, that the conduct has stopped and that they have not been treated adversely.</w:t>
      </w:r>
    </w:p>
    <w:p>
      <w:pPr>
        <w:keepNext/>
        <w:spacing w:after="120" w:before="280"/>
        <w:outlineLvl w:val="0"/>
      </w:pPr>
      <w:r>
        <w:rPr>
          <w:rFonts w:ascii="Calibri" w:cs="Calibri" w:eastAsia="Calibri" w:hAnsi="Calibri"/>
          <w:b/>
          <w:bCs/>
          <w:color w:val="14161B"/>
          <w:sz w:val="22"/>
          <w:szCs w:val="22"/>
        </w:rPr>
        <w:t xml:space="preserve">8. CONFIDENTIALITY, RECORDS AND NON-RETALIATION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Reports will be handled confidentially, with information shared only with those who need it to inquire or act. Confidentiality cannot be absolute where an inquiry requires the allegation to be put to the person responsible.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Personal data will be handled in accordance with the Personal Data Protection Act 2012.</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Retaliation against a person who reports, assists or gives evidence is itself misconduct and will be dealt with accordingly.</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The Company will maintain a confidential register of reports, outcomes and time taken, and will review it annually for patterns.</w:t>
      </w:r>
    </w:p>
    <w:p>
      <w:pPr>
        <w:keepNext/>
        <w:spacing w:after="120" w:before="280"/>
        <w:outlineLvl w:val="0"/>
      </w:pPr>
      <w:r>
        <w:rPr>
          <w:rFonts w:ascii="Calibri" w:cs="Calibri" w:eastAsia="Calibri" w:hAnsi="Calibri"/>
          <w:b/>
          <w:bCs/>
          <w:color w:val="14161B"/>
          <w:sz w:val="22"/>
          <w:szCs w:val="22"/>
        </w:rPr>
        <w:t xml:space="preserve">9. PREVENTION</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This policy will be given to every person at induction and re-communicated at least annually.</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All employees will receive training on this policy; managers will receive additional training on receiving and handling reports.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The Company will include an obligation to comply with this policy in contracts with contractors and agencies supplying personnel to the workplace.</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The reporting contacts and this policy will be displayed at </w:t>
      </w:r>
      <w:r>
        <w:rPr>
          <w:rFonts w:ascii="Calibri" w:cs="Calibri" w:eastAsia="Calibri" w:hAnsi="Calibri"/>
          <w:b/>
          <w:bCs/>
          <w:sz w:val="21"/>
          <w:szCs w:val="21"/>
        </w:rPr>
        <w:t xml:space="preserve">[LOCATIONS]</w:t>
      </w:r>
      <w:r>
        <w:rPr>
          <w:rFonts w:ascii="Calibri" w:cs="Calibri" w:eastAsia="Calibri" w:hAnsi="Calibri"/>
          <w:sz w:val="21"/>
          <w:szCs w:val="21"/>
        </w:rPr>
        <w:t xml:space="preserve"> and available at </w:t>
      </w:r>
      <w:r>
        <w:rPr>
          <w:rFonts w:ascii="Calibri" w:cs="Calibri" w:eastAsia="Calibri" w:hAnsi="Calibri"/>
          <w:b/>
          <w:bCs/>
          <w:sz w:val="21"/>
          <w:szCs w:val="21"/>
        </w:rPr>
        <w:t xml:space="preserve">[LINK]</w:t>
      </w:r>
      <w:r>
        <w:rPr>
          <w:rFonts w:ascii="Calibri" w:cs="Calibri" w:eastAsia="Calibri" w:hAnsi="Calibri"/>
          <w:sz w:val="21"/>
          <w:szCs w:val="21"/>
        </w:rPr>
        <w:t xml:space="preserv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Report Form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 of person reporting</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Role and relationship to the 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[Employee / Contractor / Intern / Visitor / Other]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Contact details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[EMAIL]</w:t>
            </w:r>
            <w:r>
              <w:rPr>
                <w:rFonts w:ascii="Calibri" w:cs="Calibri" w:eastAsia="Calibri" w:hAnsi="Calibri"/>
                <w:sz w:val="18"/>
                <w:szCs w:val="18"/>
              </w:rPr>
              <w:t xml:space="preserve"> / </w:t>
            </w:r>
            <w:r>
              <w:rPr>
                <w:rFonts w:ascii="Calibri" w:cs="Calibri" w:eastAsia="Calibri" w:hAnsi="Calibri"/>
                <w:b/>
                <w:bCs/>
                <w:sz w:val="18"/>
                <w:szCs w:val="18"/>
              </w:rPr>
              <w:t xml:space="preserve">[PHONE]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Reporting on own behalf or as a witness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[Own behalf / Witness]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 the report concerns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AND ROLE]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Relationship to that person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[Manager / Colleague / Client / Contractor / Other]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Nature of the conduct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[Sexual harassment / Bullying / Discriminatory harassment / Stalking / Online / Victimisation]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happened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IN YOUR OWN WORDS — attach additional sheets as needed]</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Dates, times and places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a single incident or a course of conduct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[Single / Repeated — give dates]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Witnesses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Evidence available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[Messages, emails, images, records — list]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reported before, and to whom</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 support or interim measure you would find helpful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you have made or intend to make a police report or an application under the Protection from Harassment Act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bl>
    <w:p>
      <w:pPr>
        <w:spacing w:after="140"/>
      </w:pPr>
    </w:p>
    <w:p>
      <w:pPr>
        <w:spacing w:after="160" w:before="0" w:line="276"/>
        <w:jc w:val="both"/>
      </w:pPr>
      <w:r>
        <w:rPr>
          <w:rFonts w:ascii="Calibri" w:cs="Calibri" w:eastAsia="Calibri" w:hAnsi="Calibri"/>
          <w:i/>
          <w:iCs/>
          <w:sz w:val="21"/>
          <w:szCs w:val="21"/>
        </w:rPr>
        <w:t xml:space="preserve">Received by:</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i/>
          <w:i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i/>
          <w:iCs/>
          <w:sz w:val="21"/>
          <w:szCs w:val="21"/>
        </w:rPr>
        <w:t xml:space="preserve">Reference:</w:t>
      </w:r>
      <w:r>
        <w:rPr>
          <w:rFonts w:ascii="Calibri" w:cs="Calibri" w:eastAsia="Calibri" w:hAnsi="Calibri"/>
          <w:sz w:val="21"/>
          <w:szCs w:val="21"/>
        </w:rPr>
        <w:t xml:space="preserve"> </w:t>
      </w:r>
      <w:r>
        <w:rPr>
          <w:rFonts w:ascii="Calibri" w:cs="Calibri" w:eastAsia="Calibri" w:hAnsi="Calibri"/>
          <w:b/>
          <w:bCs/>
          <w:sz w:val="21"/>
          <w:szCs w:val="21"/>
        </w:rPr>
        <w:t xml:space="preserve">[REF]</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Inquiry Timeline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240"/>
        <w:gridCol w:w="2313"/>
        <w:gridCol w:w="1252"/>
        <w:gridCol w:w="135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Target</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 received and acknowledged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3 working days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 support offered; interim measures discussed with the person affected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3 working days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Independent inquiry officer appointed; independence confirmed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5 working days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Allegation put to the person concerned, with an opportunity to respond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Both parties heard; witnesses interviewed; evidence gathered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During the inquiry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Findings recorded with reasons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30 working days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Outcome communicated to both parties in writing</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5 working days of findings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Disciplinary action taken where substantiated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Promptly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Systemic changes identified and actioned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the outcome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Follow-up with the person who reported — has it stopped, any retaliation?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4–6 weeks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Entry made in the confidential register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closure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reviewed for patterns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There is no statutory internal committee here</w:t>
      </w:r>
    </w:p>
    <w:p>
      <w:pPr>
        <w:spacing w:after="60" w:line="264"/>
        <w:jc w:val="both"/>
      </w:pPr>
      <w:r>
        <w:rPr>
          <w:rFonts w:ascii="Calibri" w:cs="Calibri" w:eastAsia="Calibri" w:hAnsi="Calibri"/>
          <w:sz w:val="19"/>
          <w:szCs w:val="19"/>
        </w:rPr>
        <w:t xml:space="preserve">Employers familiar with jurisdictions that mandate an internal committee, a prescribed composition including an external member, and fixed statutory timelines will find none of that in Singapore. The Protection from Harassment Act gives remedies to individuals rather than imposing an inquiry structure on employers. The employer’s duty comes from the common law duty of care, tripartite standards and, once commenced, the Workplace Fairness Act. Do not import a committee model wholesale; do adopt an equivalent standard of fairness, because nothing lower will withstand scrutiny.</w:t>
      </w:r>
    </w:p>
    <w:p>
      <w:pPr>
        <w:keepNext/>
        <w:spacing w:after="40" w:before="140"/>
      </w:pPr>
      <w:r>
        <w:rPr>
          <w:rFonts w:ascii="Calibri" w:cs="Calibri" w:eastAsia="Calibri" w:hAnsi="Calibri"/>
          <w:b/>
          <w:bCs/>
          <w:color w:val="14161B"/>
          <w:sz w:val="20"/>
          <w:szCs w:val="20"/>
        </w:rPr>
        <w:t xml:space="preserve">The Act protects everyone, not only women</w:t>
      </w:r>
    </w:p>
    <w:p>
      <w:pPr>
        <w:spacing w:after="60" w:line="264"/>
        <w:jc w:val="both"/>
      </w:pPr>
      <w:r>
        <w:rPr>
          <w:rFonts w:ascii="Calibri" w:cs="Calibri" w:eastAsia="Calibri" w:hAnsi="Calibri"/>
          <w:sz w:val="19"/>
          <w:szCs w:val="19"/>
        </w:rPr>
        <w:t xml:space="preserve">Protection is not limited by sex or gender. A policy drafted to protect only female employees is both under-inclusive and out of step with the legislation. Clause 2.1 states the position plainly.</w:t>
      </w:r>
    </w:p>
    <w:p>
      <w:pPr>
        <w:keepNext/>
        <w:spacing w:after="40" w:before="140"/>
      </w:pPr>
      <w:r>
        <w:rPr>
          <w:rFonts w:ascii="Calibri" w:cs="Calibri" w:eastAsia="Calibri" w:hAnsi="Calibri"/>
          <w:b/>
          <w:bCs/>
          <w:color w:val="14161B"/>
          <w:sz w:val="20"/>
          <w:szCs w:val="20"/>
        </w:rPr>
        <w:t xml:space="preserve">Individuals have direct remedies</w:t>
      </w:r>
    </w:p>
    <w:p>
      <w:pPr>
        <w:spacing w:after="60" w:line="264"/>
        <w:jc w:val="both"/>
      </w:pPr>
      <w:r>
        <w:rPr>
          <w:rFonts w:ascii="Calibri" w:cs="Calibri" w:eastAsia="Calibri" w:hAnsi="Calibri"/>
          <w:sz w:val="19"/>
          <w:szCs w:val="19"/>
        </w:rPr>
        <w:t xml:space="preserve">A person subjected to harassment may seek a protection order, an expedited protection order in urgent cases, or damages, and certain conduct is criminal. The employer’s process runs alongside those remedies and must never be presented as an alternative to them. Clause 1.3 says so, and an employer that discourages a police report or a court application creates serious exposure for itself.</w:t>
      </w:r>
    </w:p>
    <w:p>
      <w:pPr>
        <w:keepNext/>
        <w:spacing w:after="40" w:before="140"/>
      </w:pPr>
      <w:r>
        <w:rPr>
          <w:rFonts w:ascii="Calibri" w:cs="Calibri" w:eastAsia="Calibri" w:hAnsi="Calibri"/>
          <w:b/>
          <w:bCs/>
          <w:color w:val="14161B"/>
          <w:sz w:val="20"/>
          <w:szCs w:val="20"/>
        </w:rPr>
        <w:t xml:space="preserve">Cover contractors, interns and visitors</w:t>
      </w:r>
    </w:p>
    <w:p>
      <w:pPr>
        <w:spacing w:after="60" w:line="264"/>
        <w:jc w:val="both"/>
      </w:pPr>
      <w:r>
        <w:rPr>
          <w:rFonts w:ascii="Calibri" w:cs="Calibri" w:eastAsia="Calibri" w:hAnsi="Calibri"/>
          <w:sz w:val="19"/>
          <w:szCs w:val="19"/>
        </w:rPr>
        <w:t xml:space="preserve">Many harassment incidents involve people the employer does not employ — contractor personnel, agency staff, clients. Clause 2.4 requires the Company to act even where it cannot discipline the person, by raising it, changing arrangements, or ending the engagement. Passing the problem back to the person affected is not an answer.</w:t>
      </w:r>
    </w:p>
    <w:p>
      <w:pPr>
        <w:keepNext/>
        <w:spacing w:after="40" w:before="140"/>
      </w:pPr>
      <w:r>
        <w:rPr>
          <w:rFonts w:ascii="Calibri" w:cs="Calibri" w:eastAsia="Calibri" w:hAnsi="Calibri"/>
          <w:b/>
          <w:bCs/>
          <w:color w:val="14161B"/>
          <w:sz w:val="20"/>
          <w:szCs w:val="20"/>
        </w:rPr>
        <w:t xml:space="preserve">Effect, not intention</w:t>
      </w:r>
    </w:p>
    <w:p>
      <w:pPr>
        <w:spacing w:after="60" w:line="264"/>
        <w:jc w:val="both"/>
      </w:pPr>
      <w:r>
        <w:rPr>
          <w:rFonts w:ascii="Calibri" w:cs="Calibri" w:eastAsia="Calibri" w:hAnsi="Calibri"/>
          <w:sz w:val="19"/>
          <w:szCs w:val="19"/>
        </w:rPr>
        <w:t xml:space="preserve">Clause 3.3 is the point that most needs explaining in training. The test is the effect on the person experiencing the conduct. Inquiry officers who apply an intention test reach the wrong conclusions, and "it was a joke" is not a defence.</w:t>
      </w:r>
    </w:p>
    <w:p>
      <w:pPr>
        <w:keepNext/>
        <w:spacing w:after="40" w:before="140"/>
      </w:pPr>
      <w:r>
        <w:rPr>
          <w:rFonts w:ascii="Calibri" w:cs="Calibri" w:eastAsia="Calibri" w:hAnsi="Calibri"/>
          <w:b/>
          <w:bCs/>
          <w:color w:val="14161B"/>
          <w:sz w:val="20"/>
          <w:szCs w:val="20"/>
        </w:rPr>
        <w:t xml:space="preserve">Do not move the victim</w:t>
      </w:r>
    </w:p>
    <w:p>
      <w:pPr>
        <w:spacing w:after="60" w:line="264"/>
        <w:jc w:val="both"/>
      </w:pPr>
      <w:r>
        <w:rPr>
          <w:rFonts w:ascii="Calibri" w:cs="Calibri" w:eastAsia="Calibri" w:hAnsi="Calibri"/>
          <w:sz w:val="19"/>
          <w:szCs w:val="19"/>
        </w:rPr>
        <w:t xml:space="preserve">Clause 5.3 addresses the most common failure in handling reports: relocating, reassigning or changing the shift of the person who complained, because it is administratively easier. That is experienced as punishment and frequently is one. Move the person against whom the report is made, unless the person affected prefers otherwise.</w:t>
      </w:r>
    </w:p>
    <w:p>
      <w:pPr>
        <w:keepNext/>
        <w:spacing w:after="40" w:before="140"/>
      </w:pPr>
      <w:r>
        <w:rPr>
          <w:rFonts w:ascii="Calibri" w:cs="Calibri" w:eastAsia="Calibri" w:hAnsi="Calibri"/>
          <w:b/>
          <w:bCs/>
          <w:color w:val="14161B"/>
          <w:sz w:val="20"/>
          <w:szCs w:val="20"/>
        </w:rPr>
        <w:t xml:space="preserve">Never require mediation or confrontation</w:t>
      </w:r>
    </w:p>
    <w:p>
      <w:pPr>
        <w:spacing w:after="60" w:line="264"/>
        <w:jc w:val="both"/>
      </w:pPr>
      <w:r>
        <w:rPr>
          <w:rFonts w:ascii="Calibri" w:cs="Calibri" w:eastAsia="Calibri" w:hAnsi="Calibri"/>
          <w:sz w:val="19"/>
          <w:szCs w:val="19"/>
        </w:rPr>
        <w:t xml:space="preserve">Requiring a person to raise it directly with the alleged harasser, or to mediate as a precondition to an inquiry, is a serious failure and deters reports. Clause 4.5 prohibits it. Mediation may be appropriate in some cases if the person affected freely chooses it, but never as a gate.</w:t>
      </w:r>
    </w:p>
    <w:p>
      <w:pPr>
        <w:keepNext/>
        <w:spacing w:after="40" w:before="140"/>
      </w:pPr>
      <w:r>
        <w:rPr>
          <w:rFonts w:ascii="Calibri" w:cs="Calibri" w:eastAsia="Calibri" w:hAnsi="Calibri"/>
          <w:b/>
          <w:bCs/>
          <w:color w:val="14161B"/>
          <w:sz w:val="20"/>
          <w:szCs w:val="20"/>
        </w:rPr>
        <w:t xml:space="preserve">Independence may mean going outside</w:t>
      </w:r>
    </w:p>
    <w:p>
      <w:pPr>
        <w:spacing w:after="60" w:line="264"/>
        <w:jc w:val="both"/>
      </w:pPr>
      <w:r>
        <w:rPr>
          <w:rFonts w:ascii="Calibri" w:cs="Calibri" w:eastAsia="Calibri" w:hAnsi="Calibri"/>
          <w:sz w:val="19"/>
          <w:szCs w:val="19"/>
        </w:rPr>
        <w:t xml:space="preserve">In a small company, or where the person concerned is senior, no internal person is genuinely independent. Clause 6.2 provides for an external investigator. The cost is far less than the cost of an inquiry that is later shown to have been conducted by someone who reported to the respondent.</w:t>
      </w:r>
    </w:p>
    <w:p>
      <w:pPr>
        <w:keepNext/>
        <w:spacing w:after="40" w:before="140"/>
      </w:pPr>
      <w:r>
        <w:rPr>
          <w:rFonts w:ascii="Calibri" w:cs="Calibri" w:eastAsia="Calibri" w:hAnsi="Calibri"/>
          <w:b/>
          <w:bCs/>
          <w:color w:val="14161B"/>
          <w:sz w:val="20"/>
          <w:szCs w:val="20"/>
        </w:rPr>
        <w:t xml:space="preserve">Due inquiry still applies to the respondent</w:t>
      </w:r>
    </w:p>
    <w:p>
      <w:pPr>
        <w:spacing w:after="60" w:line="264"/>
        <w:jc w:val="both"/>
      </w:pPr>
      <w:r>
        <w:rPr>
          <w:rFonts w:ascii="Calibri" w:cs="Calibri" w:eastAsia="Calibri" w:hAnsi="Calibri"/>
          <w:sz w:val="19"/>
          <w:szCs w:val="19"/>
        </w:rPr>
        <w:t xml:space="preserve">Where the outcome may be dismissal, the requirements of due inquiry under the Employment Act apply to the person against whom the report is made — the allegation put with particularity, a genuine opportunity to respond, and an independent decision-maker. A rigorous process protects the complainant’s outcome as much as the respondent’s rights, because a dismissal set aside on procedure helps nobody.</w:t>
      </w:r>
    </w:p>
    <w:p>
      <w:pPr>
        <w:keepNext/>
        <w:spacing w:after="40" w:before="140"/>
      </w:pPr>
      <w:r>
        <w:rPr>
          <w:rFonts w:ascii="Calibri" w:cs="Calibri" w:eastAsia="Calibri" w:hAnsi="Calibri"/>
          <w:b/>
          <w:bCs/>
          <w:color w:val="14161B"/>
          <w:sz w:val="20"/>
          <w:szCs w:val="20"/>
        </w:rPr>
        <w:t xml:space="preserve">Unsubstantiated is not false</w:t>
      </w:r>
    </w:p>
    <w:p>
      <w:pPr>
        <w:spacing w:after="60" w:line="264"/>
        <w:jc w:val="both"/>
      </w:pPr>
      <w:r>
        <w:rPr>
          <w:rFonts w:ascii="Calibri" w:cs="Calibri" w:eastAsia="Calibri" w:hAnsi="Calibri"/>
          <w:sz w:val="19"/>
          <w:szCs w:val="19"/>
        </w:rPr>
        <w:t xml:space="preserve">Clause 7.3 separates the two deliberately. Where employees believe an unproved report will be treated as a false one, genuine reports stop being made. Bad faith requires separate proof through its own inquiry.</w:t>
      </w:r>
    </w:p>
    <w:p>
      <w:pPr>
        <w:keepNext/>
        <w:spacing w:after="40" w:before="140"/>
      </w:pPr>
      <w:r>
        <w:rPr>
          <w:rFonts w:ascii="Calibri" w:cs="Calibri" w:eastAsia="Calibri" w:hAnsi="Calibri"/>
          <w:b/>
          <w:bCs/>
          <w:color w:val="14161B"/>
          <w:sz w:val="20"/>
          <w:szCs w:val="20"/>
        </w:rPr>
        <w:t xml:space="preserve">Follow up afterwards</w:t>
      </w:r>
    </w:p>
    <w:p>
      <w:pPr>
        <w:spacing w:after="60" w:line="264"/>
        <w:jc w:val="both"/>
      </w:pPr>
      <w:r>
        <w:rPr>
          <w:rFonts w:ascii="Calibri" w:cs="Calibri" w:eastAsia="Calibri" w:hAnsi="Calibri"/>
          <w:sz w:val="19"/>
          <w:szCs w:val="19"/>
        </w:rPr>
        <w:t xml:space="preserve">Step 10 of the timeline is the step organisations skip. Checking after four to six weeks that the conduct has stopped and that the person has not been quietly disadvantaged is what distinguishes a process that works from one that merely concludes.</w:t>
      </w:r>
    </w:p>
    <w:p>
      <w:pPr>
        <w:keepNext/>
        <w:spacing w:after="40" w:before="140"/>
      </w:pPr>
      <w:r>
        <w:rPr>
          <w:rFonts w:ascii="Calibri" w:cs="Calibri" w:eastAsia="Calibri" w:hAnsi="Calibri"/>
          <w:b/>
          <w:bCs/>
          <w:color w:val="14161B"/>
          <w:sz w:val="20"/>
          <w:szCs w:val="20"/>
        </w:rPr>
        <w:t xml:space="preserve">Confidentiality has limits — say so honestly</w:t>
      </w:r>
    </w:p>
    <w:p>
      <w:pPr>
        <w:spacing w:after="60" w:line="264"/>
        <w:jc w:val="both"/>
      </w:pPr>
      <w:r>
        <w:rPr>
          <w:rFonts w:ascii="Calibri" w:cs="Calibri" w:eastAsia="Calibri" w:hAnsi="Calibri"/>
          <w:sz w:val="19"/>
          <w:szCs w:val="19"/>
        </w:rPr>
        <w:t xml:space="preserve">A person reporting will often ask for absolute confidentiality. It cannot be given if the matter is to be inquired into, because the allegation must be put to the person concerned. Clause 8.1 is honest about this. Explaining the limits at the outset is far better than discovering them mid-inquiry.</w:t>
      </w:r>
    </w:p>
    <w:p>
      <w:pPr>
        <w:keepNext/>
        <w:spacing w:after="40" w:before="140"/>
      </w:pPr>
      <w:r>
        <w:rPr>
          <w:rFonts w:ascii="Calibri" w:cs="Calibri" w:eastAsia="Calibri" w:hAnsi="Calibri"/>
          <w:b/>
          <w:bCs/>
          <w:color w:val="14161B"/>
          <w:sz w:val="20"/>
          <w:szCs w:val="20"/>
        </w:rPr>
        <w:t xml:space="preserve">Workplace Fairness Act interaction</w:t>
      </w:r>
    </w:p>
    <w:p>
      <w:pPr>
        <w:spacing w:after="60" w:line="264"/>
        <w:jc w:val="both"/>
      </w:pPr>
      <w:r>
        <w:rPr>
          <w:rFonts w:ascii="Calibri" w:cs="Calibri" w:eastAsia="Calibri" w:hAnsi="Calibri"/>
          <w:sz w:val="19"/>
          <w:szCs w:val="19"/>
        </w:rPr>
        <w:t xml:space="preserve">Harassment related to a protected characteristic will also engage the Workplace Fairness Act once it commences at the end of 2027, with a Tribunal claims route and civil penalties. Where a report raises both, coordinate the processes and tell the person which applies to which element.</w:t>
      </w:r>
    </w:p>
    <w:p>
      <w:pPr>
        <w:keepNext/>
        <w:spacing w:after="40" w:before="140"/>
      </w:pPr>
      <w:r>
        <w:rPr>
          <w:rFonts w:ascii="Calibri" w:cs="Calibri" w:eastAsia="Calibri" w:hAnsi="Calibri"/>
          <w:b/>
          <w:bCs/>
          <w:color w:val="14161B"/>
          <w:sz w:val="20"/>
          <w:szCs w:val="20"/>
        </w:rPr>
        <w:t xml:space="preserve">Records and patterns</w:t>
      </w:r>
    </w:p>
    <w:p>
      <w:pPr>
        <w:spacing w:after="60" w:line="264"/>
        <w:jc w:val="both"/>
      </w:pPr>
      <w:r>
        <w:rPr>
          <w:rFonts w:ascii="Calibri" w:cs="Calibri" w:eastAsia="Calibri" w:hAnsi="Calibri"/>
          <w:sz w:val="19"/>
          <w:szCs w:val="19"/>
        </w:rPr>
        <w:t xml:space="preserve">A confidential register recording reports, outcomes and time taken is what allows the Company to see a pattern — repeated reports about one person, one team, or one site — that individual case handling conceals. It is also the evidence that the Company takes the issue seriously.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Protection from Harassment Act and its remedies, tripartite standards, and the pending Workplace Fairness Act all change — have this policy reviewed by an employment adviser, and train the reporting contacts before the first report rather than after it.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2026-08-22T06:55:28.747Z</dcterms:created>
  <dcterms:modified xsi:type="dcterms:W3CDTF">2026-08-22T06:55:28.747Z</dcterms:modified>
</cp:coreProperties>
</file>

<file path=docProps/custom.xml><?xml version="1.0" encoding="utf-8"?>
<Properties xmlns="http://schemas.openxmlformats.org/officeDocument/2006/custom-properties" xmlns:vt="http://schemas.openxmlformats.org/officeDocument/2006/docPropsVTypes"/>
</file>