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ANNUAL GENERAL MEETINGS AND DISPENSATION</w:t>
      </w:r>
    </w:p>
    <w:p>
      <w:pPr>
        <w:spacing w:after="260"/>
        <w:jc w:val="center"/>
      </w:pPr>
      <w:r>
        <w:rPr>
          <w:rFonts w:ascii="Calibri" w:cs="Calibri" w:eastAsia="Calibri" w:hAnsi="Calibri"/>
          <w:i/>
          <w:iCs/>
          <w:color w:val="6E7480"/>
          <w:sz w:val="19"/>
          <w:szCs w:val="19"/>
        </w:rPr>
        <w:t xml:space="preserve">Exemption, dispensation and the annual cycle</w:t>
      </w:r>
    </w:p>
    <w:p>
      <w:pPr>
        <w:spacing w:after="180" w:before="0" w:line="276"/>
        <w:jc w:val="both"/>
      </w:pPr>
      <w:r>
        <w:rPr>
          <w:rFonts w:ascii="Calibri" w:cs="Calibri" w:eastAsia="Calibri" w:hAnsi="Calibri"/>
          <w:i/>
          <w:iCs/>
          <w:color w:val="6E7480"/>
          <w:sz w:val="21"/>
          <w:szCs w:val="21"/>
        </w:rPr>
        <w:t xml:space="preserve">A private company need not always hold an annual general meeting. It may be </w:t>
      </w:r>
      <w:r>
        <w:rPr>
          <w:rFonts w:ascii="Calibri" w:cs="Calibri" w:eastAsia="Calibri" w:hAnsi="Calibri"/>
          <w:b/>
          <w:bCs/>
          <w:i/>
          <w:iCs/>
          <w:color w:val="6E7480"/>
          <w:sz w:val="21"/>
          <w:szCs w:val="21"/>
        </w:rPr>
        <w:t xml:space="preserve">exempt</w:t>
      </w:r>
      <w:r>
        <w:rPr>
          <w:rFonts w:ascii="Calibri" w:cs="Calibri" w:eastAsia="Calibri" w:hAnsi="Calibri"/>
          <w:i/>
          <w:iCs/>
          <w:color w:val="6E7480"/>
          <w:sz w:val="21"/>
          <w:szCs w:val="21"/>
        </w:rPr>
        <w:t xml:space="preserve"> where financial statements are sent to members within the prescribed period, or it may </w:t>
      </w:r>
      <w:r>
        <w:rPr>
          <w:rFonts w:ascii="Calibri" w:cs="Calibri" w:eastAsia="Calibri" w:hAnsi="Calibri"/>
          <w:b/>
          <w:bCs/>
          <w:i/>
          <w:iCs/>
          <w:color w:val="6E7480"/>
          <w:sz w:val="21"/>
          <w:szCs w:val="21"/>
        </w:rPr>
        <w:t xml:space="preserve">dispense</w:t>
      </w:r>
      <w:r>
        <w:rPr>
          <w:rFonts w:ascii="Calibri" w:cs="Calibri" w:eastAsia="Calibri" w:hAnsi="Calibri"/>
          <w:i/>
          <w:iCs/>
          <w:color w:val="6E7480"/>
          <w:sz w:val="21"/>
          <w:szCs w:val="21"/>
        </w:rPr>
        <w:t xml:space="preserve"> with meetings entirely by resolution. These are different routes with different consequences, and the annual return timing depends on which one the company is actually using.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 type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[Private company / Exempt private company]</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Financial year end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Route being used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[Holding AGMs / Exempt — statements sent within the period / Dispensed by resolution]</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Dispensation resolution passed 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Financial statements sent to members 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Annual return due by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Annual return filed 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Audit position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[Audited / Exempt as a small company / Exempt as part of a small group]</w:t>
            </w:r>
          </w:p>
        </w:tc>
      </w:tr>
    </w:tbl>
    <w:p>
      <w:pPr>
        <w:spacing w:after="180"/>
      </w:pPr>
    </w:p>
    <w:p>
      <w:pPr>
        <w:keepNext/>
        <w:spacing w:after="120" w:before="280"/>
        <w:outlineLvl w:val="0"/>
      </w:pPr>
      <w:r>
        <w:rPr>
          <w:rFonts w:ascii="Calibri" w:cs="Calibri" w:eastAsia="Calibri" w:hAnsi="Calibri"/>
          <w:b/>
          <w:bCs/>
          <w:color w:val="14161B"/>
          <w:sz w:val="22"/>
          <w:szCs w:val="22"/>
        </w:rPr>
        <w:t xml:space="preserve">1. THE THREE ROUTES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927"/>
        <w:gridCol w:w="4047"/>
        <w:gridCol w:w="3664"/>
      </w:tblGrid>
      <w:tr>
        <w:trPr>
          <w:tblHeader/>
        </w:trPr>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Route</w:t>
            </w:r>
          </w:p>
        </w:tc>
        <w:tc>
          <w:tcPr>
            <w:tcW w:type="dxa" w:w="40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What it involves</w:t>
            </w:r>
          </w:p>
        </w:tc>
        <w:tc>
          <w:tcPr>
            <w:tcW w:type="dxa" w:w="366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Watch out for</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Hold the AGM</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Convene on the required notice, lay the financial statements, transact the ordinary business</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Notice period is 14 days, or 21 where a special resolution is proposed</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Exemption</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Send the financial statements to members within the prescribed period after the financial year end; no meeting needed unless a member requires one</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Any member may require a meeting</w:t>
            </w:r>
            <w:r>
              <w:rPr>
                <w:rFonts w:ascii="Calibri" w:cs="Calibri" w:eastAsia="Calibri" w:hAnsi="Calibri"/>
                <w:sz w:val="18"/>
                <w:szCs w:val="18"/>
              </w:rPr>
              <w:t xml:space="preserve"> by notice within the prescribed period — the exemption is not absolute</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Dispensation</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Pass a resolution dispensing with the holding of annual general meetings; it continues until revoked</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member may still require a meeting for a particular year by notice within the prescribed period</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Under both the exemption and dispensation routes, matters that would have been dealt with at the meeting — adopting accounts, appointing auditors, re-electing directors — are dealt with by </w:t>
      </w:r>
      <w:r>
        <w:rPr>
          <w:rFonts w:ascii="Calibri" w:cs="Calibri" w:eastAsia="Calibri" w:hAnsi="Calibri"/>
          <w:b/>
          <w:bCs/>
          <w:sz w:val="21"/>
          <w:szCs w:val="21"/>
        </w:rPr>
        <w:t xml:space="preserve">written resolution</w:t>
      </w:r>
      <w:r>
        <w:rPr>
          <w:rFonts w:ascii="Calibri" w:cs="Calibri" w:eastAsia="Calibri" w:hAnsi="Calibri"/>
          <w:sz w:val="21"/>
          <w:szCs w:val="21"/>
        </w:rPr>
        <w:t xml:space="preserve"> of members instead.</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i/>
          <w:iCs/>
          <w:sz w:val="21"/>
          <w:szCs w:val="21"/>
        </w:rPr>
        <w:t xml:space="preserve">Whichever route is used, the financial statements must still be prepared, sent to members, and filed with the annual return. Dispensing with the meeting does not dispense with the accounts.</w:t>
      </w:r>
    </w:p>
    <w:p>
      <w:pPr>
        <w:keepNext/>
        <w:spacing w:after="120" w:before="280"/>
        <w:outlineLvl w:val="0"/>
      </w:pPr>
      <w:r>
        <w:rPr>
          <w:rFonts w:ascii="Calibri" w:cs="Calibri" w:eastAsia="Calibri" w:hAnsi="Calibri"/>
          <w:b/>
          <w:bCs/>
          <w:color w:val="14161B"/>
          <w:sz w:val="22"/>
          <w:szCs w:val="22"/>
        </w:rPr>
        <w:t xml:space="preserve">2. DISPENSATION RESOLUTION</w:t>
      </w:r>
    </w:p>
    <w:p>
      <w:pPr>
        <w:spacing w:after="40" w:before="0" w:line="276"/>
        <w:jc w:val="center"/>
      </w:pPr>
      <w:r>
        <w:rPr>
          <w:rFonts w:ascii="Calibri" w:cs="Calibri" w:eastAsia="Calibri" w:hAnsi="Calibri"/>
          <w:b/>
          <w:bCs/>
          <w:sz w:val="21"/>
          <w:szCs w:val="21"/>
        </w:rPr>
        <w:t xml:space="preserve">[COMPANY NAME]</w:t>
      </w:r>
      <w:r>
        <w:rPr>
          <w:rFonts w:ascii="Calibri" w:cs="Calibri" w:eastAsia="Calibri" w:hAnsi="Calibri"/>
          <w:sz w:val="21"/>
          <w:szCs w:val="21"/>
        </w:rPr>
        <w:t xml:space="preserve"> (UEN: </w:t>
      </w:r>
      <w:r>
        <w:rPr>
          <w:rFonts w:ascii="Calibri" w:cs="Calibri" w:eastAsia="Calibri" w:hAnsi="Calibri"/>
          <w:b/>
          <w:bCs/>
          <w:sz w:val="21"/>
          <w:szCs w:val="21"/>
        </w:rPr>
        <w:t xml:space="preserve">[UEN]</w:t>
      </w:r>
      <w:r>
        <w:rPr>
          <w:rFonts w:ascii="Calibri" w:cs="Calibri" w:eastAsia="Calibri" w:hAnsi="Calibri"/>
          <w:sz w:val="21"/>
          <w:szCs w:val="21"/>
        </w:rPr>
        <w:t xml:space="preserve">) (the "</w:t>
      </w:r>
      <w:r>
        <w:rPr>
          <w:rFonts w:ascii="Calibri" w:cs="Calibri" w:eastAsia="Calibri" w:hAnsi="Calibri"/>
          <w:b/>
          <w:bCs/>
          <w:sz w:val="21"/>
          <w:szCs w:val="21"/>
        </w:rPr>
        <w:t xml:space="preserve">Company</w:t>
      </w:r>
      <w:r>
        <w:rPr>
          <w:rFonts w:ascii="Calibri" w:cs="Calibri" w:eastAsia="Calibri" w:hAnsi="Calibri"/>
          <w:sz w:val="21"/>
          <w:szCs w:val="21"/>
        </w:rPr>
        <w:t xml:space="preserve">")</w:t>
      </w:r>
    </w:p>
    <w:p>
      <w:pPr>
        <w:spacing w:after="160" w:before="0" w:line="276"/>
        <w:jc w:val="center"/>
      </w:pPr>
      <w:r>
        <w:rPr>
          <w:rFonts w:ascii="Calibri" w:cs="Calibri" w:eastAsia="Calibri" w:hAnsi="Calibri"/>
          <w:b/>
          <w:bCs/>
          <w:sz w:val="21"/>
          <w:szCs w:val="21"/>
        </w:rPr>
        <w:t xml:space="preserve">RESOLUTION IN WRITING OF THE MEMBERS</w:t>
      </w:r>
    </w:p>
    <w:p>
      <w:pPr>
        <w:spacing w:after="140" w:before="0" w:line="276"/>
        <w:jc w:val="both"/>
      </w:pPr>
      <w:r>
        <w:rPr>
          <w:rFonts w:ascii="Calibri" w:cs="Calibri" w:eastAsia="Calibri" w:hAnsi="Calibri"/>
          <w:sz w:val="21"/>
          <w:szCs w:val="21"/>
        </w:rPr>
        <w:t xml:space="preserve">We, the undersigned, being members of the Company entitled to vote and together holding the required majority, resolve as follows:</w:t>
      </w:r>
    </w:p>
    <w:p>
      <w:pPr>
        <w:spacing w:after="80" w:before="0" w:line="276"/>
        <w:jc w:val="both"/>
      </w:pPr>
      <w:r>
        <w:rPr>
          <w:rFonts w:ascii="Calibri" w:cs="Calibri" w:eastAsia="Calibri" w:hAnsi="Calibri"/>
          <w:b/>
          <w:bCs/>
          <w:sz w:val="21"/>
          <w:szCs w:val="21"/>
        </w:rPr>
        <w:t xml:space="preserve">RESOLUTION</w:t>
      </w:r>
    </w:p>
    <w:p>
      <w:pPr>
        <w:spacing w:after="120" w:before="0" w:line="276"/>
        <w:jc w:val="both"/>
      </w:pPr>
      <w:r>
        <w:rPr>
          <w:rFonts w:ascii="Calibri" w:cs="Calibri" w:eastAsia="Calibri" w:hAnsi="Calibri"/>
          <w:sz w:val="21"/>
          <w:szCs w:val="21"/>
        </w:rPr>
        <w:t xml:space="preserve">"</w:t>
      </w:r>
      <w:r>
        <w:rPr>
          <w:rFonts w:ascii="Calibri" w:cs="Calibri" w:eastAsia="Calibri" w:hAnsi="Calibri"/>
          <w:b/>
          <w:bCs/>
          <w:sz w:val="21"/>
          <w:szCs w:val="21"/>
        </w:rPr>
        <w:t xml:space="preserve">THAT</w:t>
      </w:r>
      <w:r>
        <w:rPr>
          <w:rFonts w:ascii="Calibri" w:cs="Calibri" w:eastAsia="Calibri" w:hAnsi="Calibri"/>
          <w:sz w:val="21"/>
          <w:szCs w:val="21"/>
        </w:rPr>
        <w:t xml:space="preserve"> the Company dispense with the holding of annual general meetings with effect from </w:t>
      </w:r>
      <w:r>
        <w:rPr>
          <w:rFonts w:ascii="Calibri" w:cs="Calibri" w:eastAsia="Calibri" w:hAnsi="Calibri"/>
          <w:b/>
          <w:bCs/>
          <w:sz w:val="21"/>
          <w:szCs w:val="21"/>
        </w:rPr>
        <w:t xml:space="preserve">[DATE]</w:t>
      </w:r>
      <w:r>
        <w:rPr>
          <w:rFonts w:ascii="Calibri" w:cs="Calibri" w:eastAsia="Calibri" w:hAnsi="Calibri"/>
          <w:sz w:val="21"/>
          <w:szCs w:val="21"/>
        </w:rPr>
        <w:t xml:space="preserve">, pursuant to the Companies Act 1967 and the Constitution of the Company, and that this dispensation continue in force until revoked by the members."</w:t>
      </w:r>
    </w:p>
    <w:p>
      <w:pPr>
        <w:spacing w:after="120" w:before="0" w:line="276"/>
        <w:jc w:val="both"/>
      </w:pPr>
      <w:r>
        <w:rPr>
          <w:rFonts w:ascii="Calibri" w:cs="Calibri" w:eastAsia="Calibri" w:hAnsi="Calibri"/>
          <w:b/>
          <w:bCs/>
          <w:sz w:val="21"/>
          <w:szCs w:val="21"/>
        </w:rPr>
        <w:t xml:space="preserve">AND THAT</w:t>
      </w:r>
      <w:r>
        <w:rPr>
          <w:rFonts w:ascii="Calibri" w:cs="Calibri" w:eastAsia="Calibri" w:hAnsi="Calibri"/>
          <w:sz w:val="21"/>
          <w:szCs w:val="21"/>
        </w:rPr>
        <w:t xml:space="preserve"> all matters that would otherwise be transacted at an annual general meeting, including the laying of financial statements, the appointment of auditors and the appointment or re-election of directors, be dealt with by resolution in writing of the members or otherwise as permitted by the Act.</w:t>
      </w:r>
    </w:p>
    <w:p>
      <w:pPr>
        <w:spacing w:after="180" w:before="0" w:line="276"/>
        <w:jc w:val="both"/>
      </w:pPr>
      <w:r>
        <w:rPr>
          <w:rFonts w:ascii="Calibri" w:cs="Calibri" w:eastAsia="Calibri" w:hAnsi="Calibri"/>
          <w:b/>
          <w:bCs/>
          <w:sz w:val="21"/>
          <w:szCs w:val="21"/>
        </w:rPr>
        <w:t xml:space="preserve">AND THAT</w:t>
      </w:r>
      <w:r>
        <w:rPr>
          <w:rFonts w:ascii="Calibri" w:cs="Calibri" w:eastAsia="Calibri" w:hAnsi="Calibri"/>
          <w:sz w:val="21"/>
          <w:szCs w:val="21"/>
        </w:rPr>
        <w:t xml:space="preserve"> any director or the company secretary be authorised to make any filing required in respect of this resolution.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084"/>
        <w:gridCol w:w="1734"/>
        <w:gridCol w:w="3276"/>
        <w:gridCol w:w="1544"/>
      </w:tblGrid>
      <w:tr>
        <w:trPr>
          <w:tblHeader/>
        </w:trPr>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Member</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Shares held</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Signature</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_______________________</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_______________________</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_______________________</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6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i/>
          <w:iCs/>
          <w:sz w:val="21"/>
          <w:szCs w:val="21"/>
        </w:rPr>
        <w:t xml:space="preserve">Confirm the majority required for this resolution before circulating — it is not necessarily a simple majority, and the position should be checked against the Act and the constitution.</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3. WRITTEN RESOLUTIONS REPLACING AGM BUSINESS</w:t>
      </w:r>
    </w:p>
    <w:p>
      <w:pPr>
        <w:spacing w:after="120" w:before="0" w:line="276"/>
        <w:jc w:val="both"/>
      </w:pPr>
      <w:r>
        <w:rPr>
          <w:rFonts w:ascii="Calibri" w:cs="Calibri" w:eastAsia="Calibri" w:hAnsi="Calibri"/>
          <w:sz w:val="21"/>
          <w:szCs w:val="21"/>
        </w:rPr>
        <w:t xml:space="preserve">Where the meeting is dispensed with or exempted, the following are typically passed in writing.</w:t>
      </w:r>
    </w:p>
    <w:p>
      <w:pPr>
        <w:spacing w:after="80" w:before="0" w:line="276"/>
        <w:jc w:val="both"/>
      </w:pPr>
      <w:r>
        <w:rPr>
          <w:rFonts w:ascii="Calibri" w:cs="Calibri" w:eastAsia="Calibri" w:hAnsi="Calibri"/>
          <w:b/>
          <w:bCs/>
          <w:sz w:val="21"/>
          <w:szCs w:val="21"/>
        </w:rPr>
        <w:t xml:space="preserve">Resolution 1 — Financial statements</w:t>
      </w:r>
    </w:p>
    <w:p>
      <w:pPr>
        <w:spacing w:after="120" w:before="0" w:line="276"/>
        <w:jc w:val="both"/>
      </w:pPr>
      <w:r>
        <w:rPr>
          <w:rFonts w:ascii="Calibri" w:cs="Calibri" w:eastAsia="Calibri" w:hAnsi="Calibri"/>
          <w:sz w:val="21"/>
          <w:szCs w:val="21"/>
        </w:rPr>
        <w:t xml:space="preserve">"</w:t>
      </w:r>
      <w:r>
        <w:rPr>
          <w:rFonts w:ascii="Calibri" w:cs="Calibri" w:eastAsia="Calibri" w:hAnsi="Calibri"/>
          <w:b/>
          <w:bCs/>
          <w:sz w:val="21"/>
          <w:szCs w:val="21"/>
        </w:rPr>
        <w:t xml:space="preserve">THAT</w:t>
      </w:r>
      <w:r>
        <w:rPr>
          <w:rFonts w:ascii="Calibri" w:cs="Calibri" w:eastAsia="Calibri" w:hAnsi="Calibri"/>
          <w:sz w:val="21"/>
          <w:szCs w:val="21"/>
        </w:rPr>
        <w:t xml:space="preserve"> the financial statements of the Company for the financial year ended </w:t>
      </w:r>
      <w:r>
        <w:rPr>
          <w:rFonts w:ascii="Calibri" w:cs="Calibri" w:eastAsia="Calibri" w:hAnsi="Calibri"/>
          <w:b/>
          <w:bCs/>
          <w:sz w:val="21"/>
          <w:szCs w:val="21"/>
        </w:rPr>
        <w:t xml:space="preserve">[DATE]</w:t>
      </w:r>
      <w:r>
        <w:rPr>
          <w:rFonts w:ascii="Calibri" w:cs="Calibri" w:eastAsia="Calibri" w:hAnsi="Calibri"/>
          <w:sz w:val="21"/>
          <w:szCs w:val="21"/>
        </w:rPr>
        <w:t xml:space="preserve">, together with the Directors’ Statement and the </w:t>
      </w:r>
      <w:r>
        <w:rPr>
          <w:rFonts w:ascii="Calibri" w:cs="Calibri" w:eastAsia="Calibri" w:hAnsi="Calibri"/>
          <w:b/>
          <w:bCs/>
          <w:sz w:val="21"/>
          <w:szCs w:val="21"/>
        </w:rPr>
        <w:t xml:space="preserve">[Auditor’s Report]</w:t>
      </w:r>
      <w:r>
        <w:rPr>
          <w:rFonts w:ascii="Calibri" w:cs="Calibri" w:eastAsia="Calibri" w:hAnsi="Calibri"/>
          <w:sz w:val="21"/>
          <w:szCs w:val="21"/>
        </w:rPr>
        <w:t xml:space="preserve">, having been sent to members on </w:t>
      </w:r>
      <w:r>
        <w:rPr>
          <w:rFonts w:ascii="Calibri" w:cs="Calibri" w:eastAsia="Calibri" w:hAnsi="Calibri"/>
          <w:b/>
          <w:bCs/>
          <w:sz w:val="21"/>
          <w:szCs w:val="21"/>
        </w:rPr>
        <w:t xml:space="preserve">[DATE]</w:t>
      </w:r>
      <w:r>
        <w:rPr>
          <w:rFonts w:ascii="Calibri" w:cs="Calibri" w:eastAsia="Calibri" w:hAnsi="Calibri"/>
          <w:sz w:val="21"/>
          <w:szCs w:val="21"/>
        </w:rPr>
        <w:t xml:space="preserve">, be and are hereby received and adopted."</w:t>
      </w:r>
    </w:p>
    <w:p>
      <w:pPr>
        <w:spacing w:after="80" w:before="0" w:line="276"/>
        <w:jc w:val="both"/>
      </w:pPr>
      <w:r>
        <w:rPr>
          <w:rFonts w:ascii="Calibri" w:cs="Calibri" w:eastAsia="Calibri" w:hAnsi="Calibri"/>
          <w:b/>
          <w:bCs/>
          <w:sz w:val="21"/>
          <w:szCs w:val="21"/>
        </w:rPr>
        <w:t xml:space="preserve">Resolution 2 — Directors</w:t>
      </w:r>
    </w:p>
    <w:p>
      <w:pPr>
        <w:spacing w:after="120" w:before="0" w:line="276"/>
        <w:jc w:val="both"/>
      </w:pPr>
      <w:r>
        <w:rPr>
          <w:rFonts w:ascii="Calibri" w:cs="Calibri" w:eastAsia="Calibri" w:hAnsi="Calibri"/>
          <w:sz w:val="21"/>
          <w:szCs w:val="21"/>
        </w:rPr>
        <w:t xml:space="preserve">"</w:t>
      </w:r>
      <w:r>
        <w:rPr>
          <w:rFonts w:ascii="Calibri" w:cs="Calibri" w:eastAsia="Calibri" w:hAnsi="Calibri"/>
          <w:b/>
          <w:bCs/>
          <w:sz w:val="21"/>
          <w:szCs w:val="21"/>
        </w:rPr>
        <w:t xml:space="preserve">THAT</w:t>
      </w:r>
      <w:r>
        <w:rPr>
          <w:rFonts w:ascii="Calibri" w:cs="Calibri" w:eastAsia="Calibri" w:hAnsi="Calibri"/>
          <w:sz w:val="21"/>
          <w:szCs w:val="21"/>
        </w:rPr>
        <w:t xml:space="preserve"> </w:t>
      </w:r>
      <w:r>
        <w:rPr>
          <w:rFonts w:ascii="Calibri" w:cs="Calibri" w:eastAsia="Calibri" w:hAnsi="Calibri"/>
          <w:b/>
          <w:bCs/>
          <w:sz w:val="21"/>
          <w:szCs w:val="21"/>
        </w:rPr>
        <w:t xml:space="preserve">[NAME]</w:t>
      </w:r>
      <w:r>
        <w:rPr>
          <w:rFonts w:ascii="Calibri" w:cs="Calibri" w:eastAsia="Calibri" w:hAnsi="Calibri"/>
          <w:sz w:val="21"/>
          <w:szCs w:val="21"/>
        </w:rPr>
        <w:t xml:space="preserve">, appointed a director by the directors on </w:t>
      </w:r>
      <w:r>
        <w:rPr>
          <w:rFonts w:ascii="Calibri" w:cs="Calibri" w:eastAsia="Calibri" w:hAnsi="Calibri"/>
          <w:b/>
          <w:bCs/>
          <w:sz w:val="21"/>
          <w:szCs w:val="21"/>
        </w:rPr>
        <w:t xml:space="preserve">[DATE]</w:t>
      </w:r>
      <w:r>
        <w:rPr>
          <w:rFonts w:ascii="Calibri" w:cs="Calibri" w:eastAsia="Calibri" w:hAnsi="Calibri"/>
          <w:sz w:val="21"/>
          <w:szCs w:val="21"/>
        </w:rPr>
        <w:t xml:space="preserve">, be and is hereby confirmed in office."</w:t>
      </w:r>
    </w:p>
    <w:p>
      <w:pPr>
        <w:spacing w:after="80" w:before="0" w:line="276"/>
        <w:jc w:val="both"/>
      </w:pPr>
      <w:r>
        <w:rPr>
          <w:rFonts w:ascii="Calibri" w:cs="Calibri" w:eastAsia="Calibri" w:hAnsi="Calibri"/>
          <w:b/>
          <w:bCs/>
          <w:sz w:val="21"/>
          <w:szCs w:val="21"/>
        </w:rPr>
        <w:t xml:space="preserve">Resolution 3 — Auditors</w:t>
      </w:r>
    </w:p>
    <w:p>
      <w:pPr>
        <w:spacing w:after="100" w:before="0" w:line="276"/>
        <w:jc w:val="both"/>
      </w:pPr>
      <w:r>
        <w:rPr>
          <w:rFonts w:ascii="Calibri" w:cs="Calibri" w:eastAsia="Calibri" w:hAnsi="Calibri"/>
          <w:sz w:val="21"/>
          <w:szCs w:val="21"/>
        </w:rPr>
        <w:t xml:space="preserve">"</w:t>
      </w:r>
      <w:r>
        <w:rPr>
          <w:rFonts w:ascii="Calibri" w:cs="Calibri" w:eastAsia="Calibri" w:hAnsi="Calibri"/>
          <w:b/>
          <w:bCs/>
          <w:sz w:val="21"/>
          <w:szCs w:val="21"/>
        </w:rPr>
        <w:t xml:space="preserve">THAT</w:t>
      </w:r>
      <w:r>
        <w:rPr>
          <w:rFonts w:ascii="Calibri" w:cs="Calibri" w:eastAsia="Calibri" w:hAnsi="Calibri"/>
          <w:sz w:val="21"/>
          <w:szCs w:val="21"/>
        </w:rPr>
        <w:t xml:space="preserve"> </w:t>
      </w:r>
      <w:r>
        <w:rPr>
          <w:rFonts w:ascii="Calibri" w:cs="Calibri" w:eastAsia="Calibri" w:hAnsi="Calibri"/>
          <w:b/>
          <w:bCs/>
          <w:sz w:val="21"/>
          <w:szCs w:val="21"/>
        </w:rPr>
        <w:t xml:space="preserve">[NAME]</w:t>
      </w:r>
      <w:r>
        <w:rPr>
          <w:rFonts w:ascii="Calibri" w:cs="Calibri" w:eastAsia="Calibri" w:hAnsi="Calibri"/>
          <w:sz w:val="21"/>
          <w:szCs w:val="21"/>
        </w:rPr>
        <w:t xml:space="preserve"> be and are hereby re-appointed as auditors of the Company to hold office until the conclusion of the next annual general meeting or, where the Company has dispensed with such meetings, until otherwise determined, and that the directors be authorised to fix their remuneration."</w:t>
      </w:r>
    </w:p>
    <w:p>
      <w:pPr>
        <w:spacing w:after="120" w:before="0" w:line="276"/>
        <w:jc w:val="both"/>
      </w:pPr>
      <w:r>
        <w:rPr>
          <w:rFonts w:ascii="Calibri" w:cs="Calibri" w:eastAsia="Calibri" w:hAnsi="Calibri"/>
          <w:i/>
          <w:iCs/>
          <w:sz w:val="21"/>
          <w:szCs w:val="21"/>
        </w:rPr>
        <w:t xml:space="preserve">Or, where the Company is exempt from audit:</w:t>
      </w:r>
      <w:r>
        <w:rPr>
          <w:rFonts w:ascii="Calibri" w:cs="Calibri" w:eastAsia="Calibri" w:hAnsi="Calibri"/>
          <w:sz w:val="21"/>
          <w:szCs w:val="21"/>
        </w:rPr>
        <w:t xml:space="preserve"> "</w:t>
      </w:r>
      <w:r>
        <w:rPr>
          <w:rFonts w:ascii="Calibri" w:cs="Calibri" w:eastAsia="Calibri" w:hAnsi="Calibri"/>
          <w:b/>
          <w:bCs/>
          <w:sz w:val="21"/>
          <w:szCs w:val="21"/>
        </w:rPr>
        <w:t xml:space="preserve">THAT</w:t>
      </w:r>
      <w:r>
        <w:rPr>
          <w:rFonts w:ascii="Calibri" w:cs="Calibri" w:eastAsia="Calibri" w:hAnsi="Calibri"/>
          <w:sz w:val="21"/>
          <w:szCs w:val="21"/>
        </w:rPr>
        <w:t xml:space="preserve"> it be noted that the Company is exempt from the requirement to have its financial statements audited, being a small company </w:t>
      </w:r>
      <w:r>
        <w:rPr>
          <w:rFonts w:ascii="Calibri" w:cs="Calibri" w:eastAsia="Calibri" w:hAnsi="Calibri"/>
          <w:b/>
          <w:bCs/>
          <w:sz w:val="21"/>
          <w:szCs w:val="21"/>
        </w:rPr>
        <w:t xml:space="preserve">[and part of a small group]</w:t>
      </w:r>
      <w:r>
        <w:rPr>
          <w:rFonts w:ascii="Calibri" w:cs="Calibri" w:eastAsia="Calibri" w:hAnsi="Calibri"/>
          <w:sz w:val="21"/>
          <w:szCs w:val="21"/>
        </w:rPr>
        <w:t xml:space="preserve"> within the meaning of the Companies Act 1967, and that no auditor be appointed."</w:t>
      </w:r>
    </w:p>
    <w:p>
      <w:pPr>
        <w:spacing w:after="80" w:before="0" w:line="276"/>
        <w:jc w:val="both"/>
      </w:pPr>
      <w:r>
        <w:rPr>
          <w:rFonts w:ascii="Calibri" w:cs="Calibri" w:eastAsia="Calibri" w:hAnsi="Calibri"/>
          <w:b/>
          <w:bCs/>
          <w:sz w:val="21"/>
          <w:szCs w:val="21"/>
        </w:rPr>
        <w:t xml:space="preserve">Resolution 4 — Directors’ fees</w:t>
      </w:r>
    </w:p>
    <w:p>
      <w:pPr>
        <w:spacing w:after="160" w:before="0" w:line="276"/>
        <w:jc w:val="both"/>
      </w:pPr>
      <w:r>
        <w:rPr>
          <w:rFonts w:ascii="Calibri" w:cs="Calibri" w:eastAsia="Calibri" w:hAnsi="Calibri"/>
          <w:sz w:val="21"/>
          <w:szCs w:val="21"/>
        </w:rPr>
        <w:t xml:space="preserve">"</w:t>
      </w:r>
      <w:r>
        <w:rPr>
          <w:rFonts w:ascii="Calibri" w:cs="Calibri" w:eastAsia="Calibri" w:hAnsi="Calibri"/>
          <w:b/>
          <w:bCs/>
          <w:sz w:val="21"/>
          <w:szCs w:val="21"/>
        </w:rPr>
        <w:t xml:space="preserve">THAT</w:t>
      </w:r>
      <w:r>
        <w:rPr>
          <w:rFonts w:ascii="Calibri" w:cs="Calibri" w:eastAsia="Calibri" w:hAnsi="Calibri"/>
          <w:sz w:val="21"/>
          <w:szCs w:val="21"/>
        </w:rPr>
        <w:t xml:space="preserve"> directors’ fees of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for the financial year ended </w:t>
      </w:r>
      <w:r>
        <w:rPr>
          <w:rFonts w:ascii="Calibri" w:cs="Calibri" w:eastAsia="Calibri" w:hAnsi="Calibri"/>
          <w:b/>
          <w:bCs/>
          <w:sz w:val="21"/>
          <w:szCs w:val="21"/>
        </w:rPr>
        <w:t xml:space="preserve">[DATE]</w:t>
      </w:r>
      <w:r>
        <w:rPr>
          <w:rFonts w:ascii="Calibri" w:cs="Calibri" w:eastAsia="Calibri" w:hAnsi="Calibri"/>
          <w:sz w:val="21"/>
          <w:szCs w:val="21"/>
        </w:rPr>
        <w:t xml:space="preserve"> be and are hereby approved."</w:t>
      </w:r>
    </w:p>
    <w:p>
      <w:pPr>
        <w:keepNext/>
        <w:spacing w:after="120" w:before="280"/>
        <w:outlineLvl w:val="0"/>
      </w:pPr>
      <w:r>
        <w:rPr>
          <w:rFonts w:ascii="Calibri" w:cs="Calibri" w:eastAsia="Calibri" w:hAnsi="Calibri"/>
          <w:b/>
          <w:bCs/>
          <w:color w:val="14161B"/>
          <w:sz w:val="22"/>
          <w:szCs w:val="22"/>
        </w:rPr>
        <w:t xml:space="preserve">4. AUDIT EXEMPTION</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A company is exempt from audit where it qualifies as a </w:t>
      </w:r>
      <w:r>
        <w:rPr>
          <w:rFonts w:ascii="Calibri" w:cs="Calibri" w:eastAsia="Calibri" w:hAnsi="Calibri"/>
          <w:b/>
          <w:bCs/>
          <w:sz w:val="21"/>
          <w:szCs w:val="21"/>
        </w:rPr>
        <w:t xml:space="preserve">small company</w:t>
      </w:r>
      <w:r>
        <w:rPr>
          <w:rFonts w:ascii="Calibri" w:cs="Calibri" w:eastAsia="Calibri" w:hAnsi="Calibri"/>
          <w:sz w:val="21"/>
          <w:szCs w:val="21"/>
        </w:rPr>
        <w:t xml:space="preserve"> — broadly, a private company meeting at least two of three criteria as to revenue, total assets and number of employees, for each of the two preceding financial years.</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Where the company is part of a group, the group must also qualify as a </w:t>
      </w:r>
      <w:r>
        <w:rPr>
          <w:rFonts w:ascii="Calibri" w:cs="Calibri" w:eastAsia="Calibri" w:hAnsi="Calibri"/>
          <w:b/>
          <w:bCs/>
          <w:sz w:val="21"/>
          <w:szCs w:val="21"/>
        </w:rPr>
        <w:t xml:space="preserve">small group</w:t>
      </w:r>
      <w:r>
        <w:rPr>
          <w:rFonts w:ascii="Calibri" w:cs="Calibri" w:eastAsia="Calibri" w:hAnsi="Calibri"/>
          <w:sz w:val="21"/>
          <w:szCs w:val="21"/>
        </w:rPr>
        <w:t xml:space="preserve"> on the same basis.</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The exemption is </w:t>
      </w:r>
      <w:r>
        <w:rPr>
          <w:rFonts w:ascii="Calibri" w:cs="Calibri" w:eastAsia="Calibri" w:hAnsi="Calibri"/>
          <w:b/>
          <w:bCs/>
          <w:sz w:val="21"/>
          <w:szCs w:val="21"/>
        </w:rPr>
        <w:t xml:space="preserve">not permanent</w:t>
      </w:r>
      <w:r>
        <w:rPr>
          <w:rFonts w:ascii="Calibri" w:cs="Calibri" w:eastAsia="Calibri" w:hAnsi="Calibri"/>
          <w:sz w:val="21"/>
          <w:szCs w:val="21"/>
        </w:rPr>
        <w:t xml:space="preserve">. A company that ceases to meet the criteria for two consecutive years ceases to qualify, and must appoint an auditor. Growth through the thresholds is easy to miss until the year an audit is suddenly required and none has been arranged.</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Exemption from audit does </w:t>
      </w:r>
      <w:r>
        <w:rPr>
          <w:rFonts w:ascii="Calibri" w:cs="Calibri" w:eastAsia="Calibri" w:hAnsi="Calibri"/>
          <w:b/>
          <w:bCs/>
          <w:sz w:val="21"/>
          <w:szCs w:val="21"/>
        </w:rPr>
        <w:t xml:space="preserve">not</w:t>
      </w:r>
      <w:r>
        <w:rPr>
          <w:rFonts w:ascii="Calibri" w:cs="Calibri" w:eastAsia="Calibri" w:hAnsi="Calibri"/>
          <w:sz w:val="21"/>
          <w:szCs w:val="21"/>
        </w:rPr>
        <w:t xml:space="preserve"> exempt the company from preparing financial statements, sending them to members, or filing them.</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2505"/>
        <w:gridCol w:w="1349"/>
        <w:gridCol w:w="1349"/>
        <w:gridCol w:w="1159"/>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Criterion</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Threshold</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Year 1</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Year 2</w:t>
            </w:r>
          </w:p>
        </w:tc>
        <w:tc>
          <w:tcPr>
            <w:tcW w:type="dxa" w:w="115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Met?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Total annual revenue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[CONFIRM CURRENT THRESHOLD]</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Total assets at year end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[CONFIRM CURRENT THRESHOLD]</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Number of employees at year end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[CONFIRM CURRENT THRESHOLD]</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At least two of three met in both years</w:t>
            </w:r>
          </w:p>
        </w:tc>
        <w:tc>
          <w:tcPr>
            <w:tcW w:type="dxa" w:w="2505"/>
            <w:tcMar>
              <w:top w:type="dxa" w:w="70"/>
              <w:left w:type="dxa" w:w="100"/>
              <w:bottom w:type="dxa" w:w="70"/>
              <w:right w:type="dxa" w:w="100"/>
            </w:tcMar>
            <w:vAlign w:val="center"/>
          </w:tcPr>
          <w:p>
            <w:pPr>
              <w:spacing w:after="0" w:line="240"/>
              <w:jc w:val="left"/>
            </w:pPr>
          </w:p>
        </w:tc>
        <w:tc>
          <w:tcPr>
            <w:tcW w:type="dxa" w:w="1349"/>
            <w:tcMar>
              <w:top w:type="dxa" w:w="70"/>
              <w:left w:type="dxa" w:w="100"/>
              <w:bottom w:type="dxa" w:w="70"/>
              <w:right w:type="dxa" w:w="100"/>
            </w:tcMar>
            <w:vAlign w:val="center"/>
          </w:tcPr>
          <w:p>
            <w:pPr>
              <w:spacing w:after="0" w:line="240"/>
              <w:jc w:val="left"/>
            </w:pPr>
          </w:p>
        </w:tc>
        <w:tc>
          <w:tcPr>
            <w:tcW w:type="dxa" w:w="1349"/>
            <w:tcMar>
              <w:top w:type="dxa" w:w="70"/>
              <w:left w:type="dxa" w:w="100"/>
              <w:bottom w:type="dxa" w:w="70"/>
              <w:right w:type="dxa" w:w="100"/>
            </w:tcMar>
            <w:vAlign w:val="center"/>
          </w:tcPr>
          <w:p>
            <w:pPr>
              <w:spacing w:after="0" w:line="240"/>
              <w:jc w:val="left"/>
            </w:pP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Group qualifies as a small group, where applicable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spacing w:after="60" w:before="240"/>
        <w:jc w:val="center"/>
      </w:pPr>
      <w:r>
        <w:rPr>
          <w:rFonts w:ascii="Calibri" w:cs="Calibri" w:eastAsia="Calibri" w:hAnsi="Calibri"/>
          <w:b/>
          <w:bCs/>
          <w:color w:val="14161B"/>
          <w:spacing w:val="12"/>
          <w:sz w:val="28"/>
          <w:szCs w:val="28"/>
        </w:rPr>
        <w:t xml:space="preserve">ANNEXURE</w:t>
      </w:r>
    </w:p>
    <w:p>
      <w:pPr>
        <w:spacing w:after="260"/>
        <w:jc w:val="center"/>
      </w:pPr>
      <w:r>
        <w:rPr>
          <w:rFonts w:ascii="Calibri" w:cs="Calibri" w:eastAsia="Calibri" w:hAnsi="Calibri"/>
          <w:i/>
          <w:iCs/>
          <w:color w:val="6E7480"/>
          <w:sz w:val="19"/>
          <w:szCs w:val="19"/>
        </w:rPr>
        <w:t xml:space="preserve">Annual Compliance Calendar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626"/>
        <w:gridCol w:w="2120"/>
        <w:gridCol w:w="1156"/>
        <w:gridCol w:w="1351"/>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62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Obligation</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Timing</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Owner</w:t>
            </w:r>
          </w:p>
        </w:tc>
        <w:tc>
          <w:tcPr>
            <w:tcW w:type="dxa" w:w="135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Financial year end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[Finance]</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Audit exemption criteria re-tested for the year</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After year end</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[Finance]</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Financial statements prepared in the applicable reporting standards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After year end</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[Finance]</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Directors’ Statement approved and signed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 the statements</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[Board]</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Audit completed, or exemption confirmed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circulation</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[Finance]</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Financial statements sent to members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Within the prescribed period</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[CoSec]</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AGM held, or written resolutions passed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 the route used</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[CoSec]</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Annual return filed with the Registrar</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Within the prescribed period</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[CoSec]</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Financial statements filed in the required format where applicable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 the annual return</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[CoSec]</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Registers confirmed current — members, directors, secretaries, charges, controllers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the return</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[CoSec]</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Location of the register of registrable controllers declared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 the return</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[CoSec]</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Annual verification notices sent to registrable controllers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Each calendar year</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[CoSec]</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13</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Estimated Chargeable Income filed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Within the period after year end</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[Finance]</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14</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Corporate income tax return filed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By the annual deadline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[Finance]</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15</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Employment income reporting submitted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By 1 March</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[Payroll]</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16</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Business licences and registrations renewed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 they fall due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[Admin]</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17</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Insurance renewed — work injury, directors and officers, other</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 they fall due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[Finance]</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Exemption and dispensation are different things</w:t>
      </w:r>
    </w:p>
    <w:p>
      <w:pPr>
        <w:spacing w:after="60" w:line="264"/>
        <w:jc w:val="both"/>
      </w:pPr>
      <w:r>
        <w:rPr>
          <w:rFonts w:ascii="Calibri" w:cs="Calibri" w:eastAsia="Calibri" w:hAnsi="Calibri"/>
          <w:sz w:val="19"/>
          <w:szCs w:val="19"/>
        </w:rPr>
        <w:t xml:space="preserve">The exemption applies automatically where financial statements are sent to members within the prescribed period; dispensation requires a resolution and continues until revoked. Companies frequently describe themselves as having "dispensed with AGMs" when they have in fact simply relied on the exemption, which matters because the resolution and any filing differ.</w:t>
      </w:r>
    </w:p>
    <w:p>
      <w:pPr>
        <w:keepNext/>
        <w:spacing w:after="40" w:before="140"/>
      </w:pPr>
      <w:r>
        <w:rPr>
          <w:rFonts w:ascii="Calibri" w:cs="Calibri" w:eastAsia="Calibri" w:hAnsi="Calibri"/>
          <w:b/>
          <w:bCs/>
          <w:color w:val="14161B"/>
          <w:sz w:val="20"/>
          <w:szCs w:val="20"/>
        </w:rPr>
        <w:t xml:space="preserve">A member can still require a meeting</w:t>
      </w:r>
    </w:p>
    <w:p>
      <w:pPr>
        <w:spacing w:after="60" w:line="264"/>
        <w:jc w:val="both"/>
      </w:pPr>
      <w:r>
        <w:rPr>
          <w:rFonts w:ascii="Calibri" w:cs="Calibri" w:eastAsia="Calibri" w:hAnsi="Calibri"/>
          <w:sz w:val="19"/>
          <w:szCs w:val="19"/>
        </w:rPr>
        <w:t xml:space="preserve">Under both routes, a member may require an annual general meeting to be held for a particular year by notice within the prescribed period. Neither route removes that right. In a company with a disgruntled minority shareholder, plan for the possibility rather than assuming meetings are permanently behind you.</w:t>
      </w:r>
    </w:p>
    <w:p>
      <w:pPr>
        <w:keepNext/>
        <w:spacing w:after="40" w:before="140"/>
      </w:pPr>
      <w:r>
        <w:rPr>
          <w:rFonts w:ascii="Calibri" w:cs="Calibri" w:eastAsia="Calibri" w:hAnsi="Calibri"/>
          <w:b/>
          <w:bCs/>
          <w:color w:val="14161B"/>
          <w:sz w:val="20"/>
          <w:szCs w:val="20"/>
        </w:rPr>
        <w:t xml:space="preserve">The accounts obligation survives</w:t>
      </w:r>
    </w:p>
    <w:p>
      <w:pPr>
        <w:spacing w:after="60" w:line="264"/>
        <w:jc w:val="both"/>
      </w:pPr>
      <w:r>
        <w:rPr>
          <w:rFonts w:ascii="Calibri" w:cs="Calibri" w:eastAsia="Calibri" w:hAnsi="Calibri"/>
          <w:sz w:val="19"/>
          <w:szCs w:val="19"/>
        </w:rPr>
        <w:t xml:space="preserve">Dispensing with the meeting does not dispense with preparing financial statements, sending them to members, or filing them with the annual return. Companies that stop holding meetings sometimes drift into treating the accounts as optional too, which is a far more serious problem.</w:t>
      </w:r>
    </w:p>
    <w:p>
      <w:pPr>
        <w:keepNext/>
        <w:spacing w:after="40" w:before="140"/>
      </w:pPr>
      <w:r>
        <w:rPr>
          <w:rFonts w:ascii="Calibri" w:cs="Calibri" w:eastAsia="Calibri" w:hAnsi="Calibri"/>
          <w:b/>
          <w:bCs/>
          <w:color w:val="14161B"/>
          <w:sz w:val="20"/>
          <w:szCs w:val="20"/>
        </w:rPr>
        <w:t xml:space="preserve">The annual return deadline depends on the route</w:t>
      </w:r>
    </w:p>
    <w:p>
      <w:pPr>
        <w:spacing w:after="60" w:line="264"/>
        <w:jc w:val="both"/>
      </w:pPr>
      <w:r>
        <w:rPr>
          <w:rFonts w:ascii="Calibri" w:cs="Calibri" w:eastAsia="Calibri" w:hAnsi="Calibri"/>
          <w:sz w:val="19"/>
          <w:szCs w:val="19"/>
        </w:rPr>
        <w:t xml:space="preserve">Filing timelines run by reference to the financial year end and, where a meeting is held, to the date of that meeting. Establish which basis the company is on and diarise accordingly — the most common late filing arises from a company that changed route and kept the old diary date.</w:t>
      </w:r>
    </w:p>
    <w:p>
      <w:pPr>
        <w:keepNext/>
        <w:spacing w:after="40" w:before="140"/>
      </w:pPr>
      <w:r>
        <w:rPr>
          <w:rFonts w:ascii="Calibri" w:cs="Calibri" w:eastAsia="Calibri" w:hAnsi="Calibri"/>
          <w:b/>
          <w:bCs/>
          <w:color w:val="14161B"/>
          <w:sz w:val="20"/>
          <w:szCs w:val="20"/>
        </w:rPr>
        <w:t xml:space="preserve">Audit exemption is tested every year</w:t>
      </w:r>
    </w:p>
    <w:p>
      <w:pPr>
        <w:spacing w:after="60" w:line="264"/>
        <w:jc w:val="both"/>
      </w:pPr>
      <w:r>
        <w:rPr>
          <w:rFonts w:ascii="Calibri" w:cs="Calibri" w:eastAsia="Calibri" w:hAnsi="Calibri"/>
          <w:sz w:val="19"/>
          <w:szCs w:val="19"/>
        </w:rPr>
        <w:t xml:space="preserve">Small company status requires the criteria to be met in each of the two preceding financial years, and group qualification is tested separately where the company is part of a group. A growing company can cross the thresholds without anyone tracking it, and then discovers in the audit season that an auditor should have been appointed. Step 2 of the calendar tests it annually.</w:t>
      </w:r>
    </w:p>
    <w:p>
      <w:pPr>
        <w:keepNext/>
        <w:spacing w:after="40" w:before="140"/>
      </w:pPr>
      <w:r>
        <w:rPr>
          <w:rFonts w:ascii="Calibri" w:cs="Calibri" w:eastAsia="Calibri" w:hAnsi="Calibri"/>
          <w:b/>
          <w:bCs/>
          <w:color w:val="14161B"/>
          <w:sz w:val="20"/>
          <w:szCs w:val="20"/>
        </w:rPr>
        <w:t xml:space="preserve">Confirm the current thresholds</w:t>
      </w:r>
    </w:p>
    <w:p>
      <w:pPr>
        <w:spacing w:after="60" w:line="264"/>
        <w:jc w:val="both"/>
      </w:pPr>
      <w:r>
        <w:rPr>
          <w:rFonts w:ascii="Calibri" w:cs="Calibri" w:eastAsia="Calibri" w:hAnsi="Calibri"/>
          <w:sz w:val="19"/>
          <w:szCs w:val="19"/>
        </w:rPr>
        <w:t xml:space="preserve">Revenue, asset and employee thresholds for small company status change, and the table is deliberately left with placeholders. Do not carry forward figures from an old checklist — verify them for the year being tested.</w:t>
      </w:r>
    </w:p>
    <w:p>
      <w:pPr>
        <w:keepNext/>
        <w:spacing w:after="40" w:before="140"/>
      </w:pPr>
      <w:r>
        <w:rPr>
          <w:rFonts w:ascii="Calibri" w:cs="Calibri" w:eastAsia="Calibri" w:hAnsi="Calibri"/>
          <w:b/>
          <w:bCs/>
          <w:color w:val="14161B"/>
          <w:sz w:val="20"/>
          <w:szCs w:val="20"/>
        </w:rPr>
        <w:t xml:space="preserve">Financial statements are still filed</w:t>
      </w:r>
    </w:p>
    <w:p>
      <w:pPr>
        <w:spacing w:after="60" w:line="264"/>
        <w:jc w:val="both"/>
      </w:pPr>
      <w:r>
        <w:rPr>
          <w:rFonts w:ascii="Calibri" w:cs="Calibri" w:eastAsia="Calibri" w:hAnsi="Calibri"/>
          <w:sz w:val="19"/>
          <w:szCs w:val="19"/>
        </w:rPr>
        <w:t xml:space="preserve">Filing requirements, including the format in which financial information must be submitted, vary by company type and size, with some companies exempt from certain filing formats. Confirm what applies rather than assuming an exempt private company files nothing.</w:t>
      </w:r>
    </w:p>
    <w:p>
      <w:pPr>
        <w:keepNext/>
        <w:spacing w:after="40" w:before="140"/>
      </w:pPr>
      <w:r>
        <w:rPr>
          <w:rFonts w:ascii="Calibri" w:cs="Calibri" w:eastAsia="Calibri" w:hAnsi="Calibri"/>
          <w:b/>
          <w:bCs/>
          <w:color w:val="14161B"/>
          <w:sz w:val="20"/>
          <w:szCs w:val="20"/>
        </w:rPr>
        <w:t xml:space="preserve">Directors’ Statement, not a Directors’ Report</w:t>
      </w:r>
    </w:p>
    <w:p>
      <w:pPr>
        <w:spacing w:after="60" w:line="264"/>
        <w:jc w:val="both"/>
      </w:pPr>
      <w:r>
        <w:rPr>
          <w:rFonts w:ascii="Calibri" w:cs="Calibri" w:eastAsia="Calibri" w:hAnsi="Calibri"/>
          <w:sz w:val="19"/>
          <w:szCs w:val="19"/>
        </w:rPr>
        <w:t xml:space="preserve">Singapore requires a Directors’ Statement accompanying the financial statements, containing prescribed confirmations including the directors’ opinion on the financial statements and on solvency. It is not the same document as the directors’ report of other jurisdictions and the confirmations are specific.</w:t>
      </w:r>
    </w:p>
    <w:p>
      <w:pPr>
        <w:keepNext/>
        <w:spacing w:after="40" w:before="140"/>
      </w:pPr>
      <w:r>
        <w:rPr>
          <w:rFonts w:ascii="Calibri" w:cs="Calibri" w:eastAsia="Calibri" w:hAnsi="Calibri"/>
          <w:b/>
          <w:bCs/>
          <w:color w:val="14161B"/>
          <w:sz w:val="20"/>
          <w:szCs w:val="20"/>
        </w:rPr>
        <w:t xml:space="preserve">Solvency confirmations are substantive</w:t>
      </w:r>
    </w:p>
    <w:p>
      <w:pPr>
        <w:spacing w:after="60" w:line="264"/>
        <w:jc w:val="both"/>
      </w:pPr>
      <w:r>
        <w:rPr>
          <w:rFonts w:ascii="Calibri" w:cs="Calibri" w:eastAsia="Calibri" w:hAnsi="Calibri"/>
          <w:sz w:val="19"/>
          <w:szCs w:val="19"/>
        </w:rPr>
        <w:t xml:space="preserve">The confirmations directors give in the Directors’ Statement about the company’s ability to pay its debts are not boilerplate. Directors who sign them without considering the cash position take on real exposure, particularly where the company is loss-making or dependent on continued shareholder support.</w:t>
      </w:r>
    </w:p>
    <w:p>
      <w:pPr>
        <w:keepNext/>
        <w:spacing w:after="40" w:before="140"/>
      </w:pPr>
      <w:r>
        <w:rPr>
          <w:rFonts w:ascii="Calibri" w:cs="Calibri" w:eastAsia="Calibri" w:hAnsi="Calibri"/>
          <w:b/>
          <w:bCs/>
          <w:color w:val="14161B"/>
          <w:sz w:val="20"/>
          <w:szCs w:val="20"/>
        </w:rPr>
        <w:t xml:space="preserve">Use the annual cycle to sweep the registers</w:t>
      </w:r>
    </w:p>
    <w:p>
      <w:pPr>
        <w:spacing w:after="60" w:line="264"/>
        <w:jc w:val="both"/>
      </w:pPr>
      <w:r>
        <w:rPr>
          <w:rFonts w:ascii="Calibri" w:cs="Calibri" w:eastAsia="Calibri" w:hAnsi="Calibri"/>
          <w:sz w:val="19"/>
          <w:szCs w:val="19"/>
        </w:rPr>
        <w:t xml:space="preserve">The annual return requires the registers to be accurate, and it is the natural point to confirm that the register of members reconciles to the cap table, that director and secretary particulars are current, that charges are correctly recorded, and that controller information has been verified. Steps 10 to 12 do that sweep.</w:t>
      </w:r>
    </w:p>
    <w:p>
      <w:pPr>
        <w:keepNext/>
        <w:spacing w:after="40" w:before="140"/>
      </w:pPr>
      <w:r>
        <w:rPr>
          <w:rFonts w:ascii="Calibri" w:cs="Calibri" w:eastAsia="Calibri" w:hAnsi="Calibri"/>
          <w:b/>
          <w:bCs/>
          <w:color w:val="14161B"/>
          <w:sz w:val="20"/>
          <w:szCs w:val="20"/>
        </w:rPr>
        <w:t xml:space="preserve">Controller verification notices are annual</w:t>
      </w:r>
    </w:p>
    <w:p>
      <w:pPr>
        <w:spacing w:after="60" w:line="264"/>
        <w:jc w:val="both"/>
      </w:pPr>
      <w:r>
        <w:rPr>
          <w:rFonts w:ascii="Calibri" w:cs="Calibri" w:eastAsia="Calibri" w:hAnsi="Calibri"/>
          <w:sz w:val="19"/>
          <w:szCs w:val="19"/>
        </w:rPr>
        <w:t xml:space="preserve">Notices verifying registrable controller particulars must be sent at least once each calendar year, separately from the annual return. It is a distinct obligation that is very commonly missed, so it sits in the same calendar.</w:t>
      </w:r>
    </w:p>
    <w:p>
      <w:pPr>
        <w:keepNext/>
        <w:spacing w:after="40" w:before="140"/>
      </w:pPr>
      <w:r>
        <w:rPr>
          <w:rFonts w:ascii="Calibri" w:cs="Calibri" w:eastAsia="Calibri" w:hAnsi="Calibri"/>
          <w:b/>
          <w:bCs/>
          <w:color w:val="14161B"/>
          <w:sz w:val="20"/>
          <w:szCs w:val="20"/>
        </w:rPr>
        <w:t xml:space="preserve">Revoking dispensation</w:t>
      </w:r>
    </w:p>
    <w:p>
      <w:pPr>
        <w:spacing w:after="60" w:line="264"/>
        <w:jc w:val="both"/>
      </w:pPr>
      <w:r>
        <w:rPr>
          <w:rFonts w:ascii="Calibri" w:cs="Calibri" w:eastAsia="Calibri" w:hAnsi="Calibri"/>
          <w:sz w:val="19"/>
          <w:szCs w:val="19"/>
        </w:rPr>
        <w:t xml:space="preserve">A dispensation continues until revoked by the members. If the shareholder base changes — an investor comes in who expects meetings — revisit it rather than leaving an old resolution running against current expectations.</w:t>
      </w:r>
    </w:p>
    <w:p>
      <w:pPr>
        <w:keepNext/>
        <w:spacing w:after="40" w:before="140"/>
      </w:pPr>
      <w:r>
        <w:rPr>
          <w:rFonts w:ascii="Calibri" w:cs="Calibri" w:eastAsia="Calibri" w:hAnsi="Calibri"/>
          <w:b/>
          <w:bCs/>
          <w:color w:val="14161B"/>
          <w:sz w:val="20"/>
          <w:szCs w:val="20"/>
        </w:rPr>
        <w:t xml:space="preserve">Written resolutions still need keeping</w:t>
      </w:r>
    </w:p>
    <w:p>
      <w:pPr>
        <w:spacing w:after="60" w:line="264"/>
        <w:jc w:val="both"/>
      </w:pPr>
      <w:r>
        <w:rPr>
          <w:rFonts w:ascii="Calibri" w:cs="Calibri" w:eastAsia="Calibri" w:hAnsi="Calibri"/>
          <w:sz w:val="19"/>
          <w:szCs w:val="19"/>
        </w:rPr>
        <w:t xml:space="preserve">Where AGM business is done by written resolution, those resolutions are the record and belong in the minute book in sequence. A company with no meetings and no filed resolutions has no corporate record at all, which is the pattern that makes due diligence painful.</w:t>
      </w:r>
    </w:p>
    <w:p>
      <w:pPr>
        <w:keepNext/>
        <w:spacing w:after="40" w:before="140"/>
      </w:pPr>
      <w:r>
        <w:rPr>
          <w:rFonts w:ascii="Calibri" w:cs="Calibri" w:eastAsia="Calibri" w:hAnsi="Calibri"/>
          <w:b/>
          <w:bCs/>
          <w:color w:val="14161B"/>
          <w:sz w:val="20"/>
          <w:szCs w:val="20"/>
        </w:rPr>
        <w:t xml:space="preserve">Do not forget the tax and payroll deadlines</w:t>
      </w:r>
    </w:p>
    <w:p>
      <w:pPr>
        <w:spacing w:after="60" w:line="264"/>
        <w:jc w:val="both"/>
      </w:pPr>
      <w:r>
        <w:rPr>
          <w:rFonts w:ascii="Calibri" w:cs="Calibri" w:eastAsia="Calibri" w:hAnsi="Calibri"/>
          <w:sz w:val="19"/>
          <w:szCs w:val="19"/>
        </w:rPr>
        <w:t xml:space="preserve">The corporate calendar is not only the company law one. Estimated Chargeable Income, the corporate return and the 1 March employment income submission all sit in the same year and are frequently owned by different people. The annexure puts them in one place deliberately.</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Small company thresholds, annual return and financial statement filing deadlines and formats, AGM exemption and dispensation provisions under the Companies Act 1967, and tax filing dates all change — confirm each with a company secretary and tax adviser at the start of every financial year.</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2026-08-22T06:55:30.451Z</dcterms:created>
  <dcterms:modified xsi:type="dcterms:W3CDTF">2026-08-22T06:55:30.451Z</dcterms:modified>
</cp:coreProperties>
</file>

<file path=docProps/custom.xml><?xml version="1.0" encoding="utf-8"?>
<Properties xmlns="http://schemas.openxmlformats.org/officeDocument/2006/custom-properties" xmlns:vt="http://schemas.openxmlformats.org/officeDocument/2006/docPropsVTypes"/>
</file>