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VESTING SCHEDULE</w:t>
      </w:r>
    </w:p>
    <w:p>
      <w:pPr>
        <w:spacing w:after="260"/>
        <w:jc w:val="center"/>
      </w:pPr>
      <w:r>
        <w:rPr>
          <w:rFonts w:ascii="Calibri" w:cs="Calibri" w:eastAsia="Calibri" w:hAnsi="Calibri"/>
          <w:i/>
          <w:iCs/>
          <w:color w:val="6E7480"/>
          <w:sz w:val="19"/>
          <w:szCs w:val="19"/>
        </w:rPr>
        <w:t xml:space="preserve">Worksheet and standard schedules</w:t>
      </w:r>
    </w:p>
    <w:p>
      <w:pPr>
        <w:spacing w:after="180" w:before="0" w:line="276"/>
        <w:jc w:val="both"/>
      </w:pPr>
      <w:r>
        <w:rPr>
          <w:rFonts w:ascii="Calibri" w:cs="Calibri" w:eastAsia="Calibri" w:hAnsi="Calibri"/>
          <w:i/>
          <w:iCs/>
          <w:color w:val="6E7480"/>
          <w:sz w:val="21"/>
          <w:szCs w:val="21"/>
        </w:rPr>
        <w:t xml:space="preserve">Attach the completed month-by-month schedule to every grant letter and keep a copy with the option register. A schedule expressed only in percentages produces arguments about rounding, about which day of the month vesting occurs, and about what happens in a leap year. Numbers and dates settle all three.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Holder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Employee ID </w:t>
            </w:r>
            <w:r>
              <w:rPr>
                <w:rFonts w:ascii="Calibri" w:cs="Calibri" w:eastAsia="Calibri" w:hAnsi="Calibri"/>
                <w:b/>
                <w:bCs/>
                <w:sz w:val="19"/>
                <w:szCs w:val="19"/>
              </w:rPr>
              <w:t xml:space="preserve">[ID]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Instrument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[Stock options / Restricted stock units / Founder shares subject to reverse vesting]</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Grant or agreement date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Vesting commencement date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granted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Vesting period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[48]</w:t>
            </w:r>
            <w:r>
              <w:rPr>
                <w:rFonts w:ascii="Calibri" w:cs="Calibri" w:eastAsia="Calibri" w:hAnsi="Calibri"/>
                <w:sz w:val="19"/>
                <w:szCs w:val="19"/>
              </w:rPr>
              <w:t xml:space="preserve"> months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Cliff</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[12]</w:t>
            </w:r>
            <w:r>
              <w:rPr>
                <w:rFonts w:ascii="Calibri" w:cs="Calibri" w:eastAsia="Calibri" w:hAnsi="Calibri"/>
                <w:sz w:val="19"/>
                <w:szCs w:val="19"/>
              </w:rPr>
              <w:t xml:space="preserve"> months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Frequency after the cliff</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[Monthly / Quarterly / Annually]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Deemed vested at grant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i/>
                <w:iCs/>
                <w:sz w:val="19"/>
                <w:szCs w:val="19"/>
              </w:rPr>
              <w:t xml:space="preserve">(credit for prior service, where applicable)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Exercise price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[PRICE]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Prepared by and date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CONVENTIONS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Vesting day.</w:t>
      </w:r>
      <w:r>
        <w:rPr>
          <w:rFonts w:ascii="Calibri" w:cs="Calibri" w:eastAsia="Calibri" w:hAnsi="Calibri"/>
          <w:sz w:val="21"/>
          <w:szCs w:val="21"/>
        </w:rPr>
        <w:t xml:space="preserve"> Vesting occurs on the same day of the month as the vesting commencement date. Where a month has no such day, vesting occurs on the last day of that month.</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Rounding.</w:t>
      </w:r>
      <w:r>
        <w:rPr>
          <w:rFonts w:ascii="Calibri" w:cs="Calibri" w:eastAsia="Calibri" w:hAnsi="Calibri"/>
          <w:sz w:val="21"/>
          <w:szCs w:val="21"/>
        </w:rPr>
        <w:t xml:space="preserve"> Where an instalment produces a fraction, the number vesting is rounded down to the nearest whole unit. Accumulated fractions vest with the final instalment, so that the total vested equals the total granted.</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b/>
          <w:bCs/>
          <w:sz w:val="21"/>
          <w:szCs w:val="21"/>
        </w:rPr>
        <w:t xml:space="preserve">Employment condition.</w:t>
      </w:r>
      <w:r>
        <w:rPr>
          <w:rFonts w:ascii="Calibri" w:cs="Calibri" w:eastAsia="Calibri" w:hAnsi="Calibri"/>
          <w:sz w:val="21"/>
          <w:szCs w:val="21"/>
        </w:rPr>
        <w:t xml:space="preserve"> An instalment vests only if the holder is in employment or engagement on the vesting date. Nothing vests after the last working day.</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b/>
          <w:bCs/>
          <w:sz w:val="21"/>
          <w:szCs w:val="21"/>
        </w:rPr>
        <w:t xml:space="preserve">Suspension.</w:t>
      </w:r>
      <w:r>
        <w:rPr>
          <w:rFonts w:ascii="Calibri" w:cs="Calibri" w:eastAsia="Calibri" w:hAnsi="Calibri"/>
          <w:sz w:val="21"/>
          <w:szCs w:val="21"/>
        </w:rPr>
        <w:t xml:space="preserve"> Vesting is suspended during unpaid leave or absence exceeding </w:t>
      </w:r>
      <w:r>
        <w:rPr>
          <w:rFonts w:ascii="Calibri" w:cs="Calibri" w:eastAsia="Calibri" w:hAnsi="Calibri"/>
          <w:b/>
          <w:bCs/>
          <w:sz w:val="21"/>
          <w:szCs w:val="21"/>
        </w:rPr>
        <w:t xml:space="preserve">[8]</w:t>
      </w:r>
      <w:r>
        <w:rPr>
          <w:rFonts w:ascii="Calibri" w:cs="Calibri" w:eastAsia="Calibri" w:hAnsi="Calibri"/>
          <w:sz w:val="21"/>
          <w:szCs w:val="21"/>
        </w:rPr>
        <w:t xml:space="preserve"> consecutive weeks, other than statutory maternity or paternity leave or absence through illness or injury. On return, subsequent vesting dates are deferred by the period of suspension, and a revised schedule is issued.</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b/>
          <w:bCs/>
          <w:sz w:val="21"/>
          <w:szCs w:val="21"/>
        </w:rPr>
        <w:t xml:space="preserve">Corporate actions.</w:t>
      </w:r>
      <w:r>
        <w:rPr>
          <w:rFonts w:ascii="Calibri" w:cs="Calibri" w:eastAsia="Calibri" w:hAnsi="Calibri"/>
          <w:sz w:val="21"/>
          <w:szCs w:val="21"/>
        </w:rPr>
        <w:t xml:space="preserve"> On a bonus issue, split, consolidation or reclassification, the numbers in this schedule are adjusted proportionately and a revised schedule is issued.</w:t>
      </w:r>
    </w:p>
    <w:p>
      <w:pPr>
        <w:keepNext/>
        <w:spacing w:after="120" w:before="280"/>
        <w:outlineLvl w:val="0"/>
      </w:pPr>
      <w:r>
        <w:rPr>
          <w:rFonts w:ascii="Calibri" w:cs="Calibri" w:eastAsia="Calibri" w:hAnsi="Calibri"/>
          <w:b/>
          <w:bCs/>
          <w:color w:val="14161B"/>
          <w:sz w:val="22"/>
          <w:szCs w:val="22"/>
        </w:rPr>
        <w:t xml:space="preserve">2. STANDARD SCHEDULES</w:t>
      </w:r>
    </w:p>
    <w:p>
      <w:pPr>
        <w:spacing w:after="140" w:before="0" w:line="276"/>
        <w:jc w:val="both"/>
      </w:pPr>
      <w:r>
        <w:rPr>
          <w:rFonts w:ascii="Calibri" w:cs="Calibri" w:eastAsia="Calibri" w:hAnsi="Calibri"/>
          <w:sz w:val="21"/>
          <w:szCs w:val="21"/>
        </w:rPr>
        <w:t xml:space="preserve">The three schedules below are the patterns the Company uses. Each assumes a grant of 4,800 units so that the arithmetic divides cleanly; scale to the actual grant.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64"/>
        <w:gridCol w:w="1091"/>
        <w:gridCol w:w="1545"/>
        <w:gridCol w:w="1272"/>
        <w:gridCol w:w="1363"/>
        <w:gridCol w:w="909"/>
        <w:gridCol w:w="1094"/>
      </w:tblGrid>
      <w:tr>
        <w:trPr>
          <w:tblHeader/>
        </w:trPr>
        <w:tc>
          <w:tcPr>
            <w:tcW w:type="dxa" w:w="23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Pattern</w:t>
            </w:r>
          </w:p>
        </w:tc>
        <w:tc>
          <w:tcPr>
            <w:tcW w:type="dxa" w:w="10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Cliff</w:t>
            </w:r>
          </w:p>
        </w:tc>
        <w:tc>
          <w:tcPr>
            <w:tcW w:type="dxa" w:w="15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Frequency after the cliff</w:t>
            </w:r>
          </w:p>
        </w:tc>
        <w:tc>
          <w:tcPr>
            <w:tcW w:type="dxa" w:w="127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At cliff</w:t>
            </w:r>
          </w:p>
        </w:tc>
        <w:tc>
          <w:tcPr>
            <w:tcW w:type="dxa" w:w="13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 instalment</w:t>
            </w:r>
          </w:p>
        </w:tc>
        <w:tc>
          <w:tcPr>
            <w:tcW w:type="dxa" w:w="9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Instalments</w:t>
            </w:r>
          </w:p>
        </w:tc>
        <w:tc>
          <w:tcPr>
            <w:tcW w:type="dxa" w:w="109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Full vesting</w:t>
            </w:r>
          </w:p>
        </w:tc>
      </w:tr>
      <w:tr>
        <w:tc>
          <w:tcPr>
            <w:tcW w:type="dxa" w:w="23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 — Four-year monthly</w:t>
            </w:r>
            <w:r>
              <w:rPr>
                <w:rFonts w:ascii="Calibri" w:cs="Calibri" w:eastAsia="Calibri" w:hAnsi="Calibri"/>
                <w:sz w:val="18"/>
                <w:szCs w:val="18"/>
              </w:rPr>
              <w:t xml:space="preserve"> </w:t>
            </w:r>
            <w:r>
              <w:rPr>
                <w:rFonts w:ascii="Calibri" w:cs="Calibri" w:eastAsia="Calibri" w:hAnsi="Calibri"/>
                <w:i/>
                <w:iCs/>
                <w:sz w:val="18"/>
                <w:szCs w:val="18"/>
              </w:rPr>
              <w:t xml:space="preserve">(the default)</w:t>
            </w:r>
          </w:p>
        </w:tc>
        <w:tc>
          <w:tcPr>
            <w:tcW w:type="dxa" w:w="10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 months</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c>
          <w:tcPr>
            <w:tcW w:type="dxa" w:w="127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1,200 (25%)</w:t>
            </w:r>
          </w:p>
        </w:tc>
        <w:tc>
          <w:tcPr>
            <w:tcW w:type="dxa" w:w="13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100</w:t>
            </w:r>
          </w:p>
        </w:tc>
        <w:tc>
          <w:tcPr>
            <w:tcW w:type="dxa" w:w="9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36</w:t>
            </w:r>
          </w:p>
        </w:tc>
        <w:tc>
          <w:tcPr>
            <w:tcW w:type="dxa" w:w="109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 48</w:t>
            </w:r>
          </w:p>
        </w:tc>
      </w:tr>
      <w:tr>
        <w:tc>
          <w:tcPr>
            <w:tcW w:type="dxa" w:w="23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 — Four-year quarterly</w:t>
            </w:r>
          </w:p>
        </w:tc>
        <w:tc>
          <w:tcPr>
            <w:tcW w:type="dxa" w:w="10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 months</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Quarterly</w:t>
            </w:r>
          </w:p>
        </w:tc>
        <w:tc>
          <w:tcPr>
            <w:tcW w:type="dxa" w:w="127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1,200 (25%)</w:t>
            </w:r>
          </w:p>
        </w:tc>
        <w:tc>
          <w:tcPr>
            <w:tcW w:type="dxa" w:w="13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300</w:t>
            </w:r>
          </w:p>
        </w:tc>
        <w:tc>
          <w:tcPr>
            <w:tcW w:type="dxa" w:w="9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109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 48</w:t>
            </w:r>
          </w:p>
        </w:tc>
      </w:tr>
      <w:tr>
        <w:tc>
          <w:tcPr>
            <w:tcW w:type="dxa" w:w="23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 — Three-year monthly</w:t>
            </w:r>
          </w:p>
        </w:tc>
        <w:tc>
          <w:tcPr>
            <w:tcW w:type="dxa" w:w="10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 months</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c>
          <w:tcPr>
            <w:tcW w:type="dxa" w:w="127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1,600 (33.3%)</w:t>
            </w:r>
          </w:p>
        </w:tc>
        <w:tc>
          <w:tcPr>
            <w:tcW w:type="dxa" w:w="13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133</w:t>
            </w:r>
          </w:p>
        </w:tc>
        <w:tc>
          <w:tcPr>
            <w:tcW w:type="dxa" w:w="9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24</w:t>
            </w:r>
          </w:p>
        </w:tc>
        <w:tc>
          <w:tcPr>
            <w:tcW w:type="dxa" w:w="109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 36</w:t>
            </w:r>
          </w:p>
        </w:tc>
      </w:tr>
      <w:tr>
        <w:tc>
          <w:tcPr>
            <w:tcW w:type="dxa" w:w="23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 — Back-weighted four-year</w:t>
            </w:r>
          </w:p>
        </w:tc>
        <w:tc>
          <w:tcPr>
            <w:tcW w:type="dxa" w:w="10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 months</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c>
          <w:tcPr>
            <w:tcW w:type="dxa" w:w="127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480 (10%)</w:t>
            </w:r>
          </w:p>
        </w:tc>
        <w:tc>
          <w:tcPr>
            <w:tcW w:type="dxa" w:w="13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960 / 1,440 / 1,920</w:t>
            </w:r>
          </w:p>
        </w:tc>
        <w:tc>
          <w:tcPr>
            <w:tcW w:type="dxa" w:w="9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109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 48</w:t>
            </w:r>
          </w:p>
        </w:tc>
      </w:tr>
    </w:tbl>
    <w:p>
      <w:pPr>
        <w:spacing w:after="140"/>
      </w:pPr>
    </w:p>
    <w:p>
      <w:pPr>
        <w:spacing w:after="160" w:before="0" w:line="276"/>
        <w:jc w:val="both"/>
      </w:pPr>
      <w:r>
        <w:rPr>
          <w:rFonts w:ascii="Calibri" w:cs="Calibri" w:eastAsia="Calibri" w:hAnsi="Calibri"/>
          <w:i/>
          <w:iCs/>
          <w:sz w:val="21"/>
          <w:szCs w:val="21"/>
        </w:rPr>
        <w:t xml:space="preserve">Pattern D delivers 10, 20, 30 and 40 per cent across the four years. It is used where retention over the full term matters more than early reward. It is less common and should be explained carefully at grant, because holders reading a four-year schedule assume an even split.</w:t>
      </w:r>
    </w:p>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3. MONTH-BY-MONTH SCHEDULE</w:t>
      </w:r>
    </w:p>
    <w:p>
      <w:pPr>
        <w:spacing w:after="260"/>
        <w:jc w:val="center"/>
      </w:pPr>
      <w:r>
        <w:rPr>
          <w:rFonts w:ascii="Calibri" w:cs="Calibri" w:eastAsia="Calibri" w:hAnsi="Calibri"/>
          <w:i/>
          <w:iCs/>
          <w:color w:val="6E7480"/>
          <w:sz w:val="19"/>
          <w:szCs w:val="19"/>
        </w:rPr>
        <w:t xml:space="preserve">Complete for the actual grant and attach to the grant letter</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902"/>
        <w:gridCol w:w="1654"/>
        <w:gridCol w:w="1503"/>
        <w:gridCol w:w="1804"/>
        <w:gridCol w:w="1503"/>
        <w:gridCol w:w="1804"/>
        <w:gridCol w:w="2556"/>
        <w:gridCol w:w="3312"/>
      </w:tblGrid>
      <w:tr>
        <w:trPr>
          <w:tblHeader/>
        </w:trPr>
        <w:tc>
          <w:tcPr>
            <w:tcW w:type="dxa" w:w="902"/>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Month</w:t>
            </w:r>
          </w:p>
        </w:tc>
        <w:tc>
          <w:tcPr>
            <w:tcW w:type="dxa" w:w="165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Vesting date</w:t>
            </w:r>
          </w:p>
        </w:tc>
        <w:tc>
          <w:tcPr>
            <w:tcW w:type="dxa" w:w="15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Units vesting</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Cumulative vested</w:t>
            </w:r>
          </w:p>
        </w:tc>
        <w:tc>
          <w:tcPr>
            <w:tcW w:type="dxa" w:w="15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Cumulative %</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Unvested remaining</w:t>
            </w:r>
          </w:p>
        </w:tc>
        <w:tc>
          <w:tcPr>
            <w:tcW w:type="dxa" w:w="255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Exercise cost if exercised in full (₹)</w:t>
            </w:r>
          </w:p>
        </w:tc>
        <w:tc>
          <w:tcPr>
            <w:tcW w:type="dxa" w:w="331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Notes</w:t>
            </w:r>
          </w:p>
        </w:tc>
      </w:tr>
      <w:tr>
        <w:tc>
          <w:tcPr>
            <w:tcW w:type="dxa" w:w="902"/>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0</w:t>
            </w:r>
          </w:p>
        </w:tc>
        <w:tc>
          <w:tcPr>
            <w:tcW w:type="dxa" w:w="165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3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Deemed vested at grant, if any</w:t>
            </w:r>
          </w:p>
        </w:tc>
      </w:tr>
      <w:tr>
        <w:tc>
          <w:tcPr>
            <w:tcW w:type="dxa" w:w="902"/>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1–11</w:t>
            </w:r>
          </w:p>
        </w:tc>
        <w:tc>
          <w:tcPr>
            <w:tcW w:type="dxa" w:w="1654"/>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Nil</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3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Cliff period — nothing vests</w:t>
            </w:r>
          </w:p>
        </w:tc>
      </w:tr>
      <w:tr>
        <w:tc>
          <w:tcPr>
            <w:tcW w:type="dxa" w:w="902"/>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12</w:t>
            </w:r>
          </w:p>
        </w:tc>
        <w:tc>
          <w:tcPr>
            <w:tcW w:type="dxa" w:w="165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31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Cliff</w:t>
            </w:r>
          </w:p>
        </w:tc>
      </w:tr>
      <w:tr>
        <w:tc>
          <w:tcPr>
            <w:tcW w:type="dxa" w:w="902"/>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13</w:t>
            </w:r>
          </w:p>
        </w:tc>
        <w:tc>
          <w:tcPr>
            <w:tcW w:type="dxa" w:w="165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312"/>
            <w:tcMar>
              <w:top w:type="dxa" w:w="70"/>
              <w:left w:type="dxa" w:w="100"/>
              <w:bottom w:type="dxa" w:w="70"/>
              <w:right w:type="dxa" w:w="100"/>
            </w:tcMar>
            <w:vAlign w:val="center"/>
          </w:tcPr>
          <w:p>
            <w:pPr>
              <w:spacing w:after="0" w:line="240"/>
              <w:jc w:val="left"/>
            </w:pPr>
          </w:p>
        </w:tc>
      </w:tr>
      <w:tr>
        <w:tc>
          <w:tcPr>
            <w:tcW w:type="dxa" w:w="902"/>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14</w:t>
            </w:r>
          </w:p>
        </w:tc>
        <w:tc>
          <w:tcPr>
            <w:tcW w:type="dxa" w:w="165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312"/>
            <w:tcMar>
              <w:top w:type="dxa" w:w="70"/>
              <w:left w:type="dxa" w:w="100"/>
              <w:bottom w:type="dxa" w:w="70"/>
              <w:right w:type="dxa" w:w="100"/>
            </w:tcMar>
            <w:vAlign w:val="center"/>
          </w:tcPr>
          <w:p>
            <w:pPr>
              <w:spacing w:after="0" w:line="240"/>
              <w:jc w:val="left"/>
            </w:pPr>
          </w:p>
        </w:tc>
      </w:tr>
      <w:tr>
        <w:tc>
          <w:tcPr>
            <w:tcW w:type="dxa" w:w="902"/>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15</w:t>
            </w:r>
          </w:p>
        </w:tc>
        <w:tc>
          <w:tcPr>
            <w:tcW w:type="dxa" w:w="165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312"/>
            <w:tcMar>
              <w:top w:type="dxa" w:w="70"/>
              <w:left w:type="dxa" w:w="100"/>
              <w:bottom w:type="dxa" w:w="70"/>
              <w:right w:type="dxa" w:w="100"/>
            </w:tcMar>
            <w:vAlign w:val="center"/>
          </w:tcPr>
          <w:p>
            <w:pPr>
              <w:spacing w:after="0" w:line="240"/>
              <w:jc w:val="left"/>
            </w:pPr>
          </w:p>
        </w:tc>
      </w:tr>
      <w:tr>
        <w:tc>
          <w:tcPr>
            <w:tcW w:type="dxa" w:w="902"/>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18</w:t>
            </w:r>
          </w:p>
        </w:tc>
        <w:tc>
          <w:tcPr>
            <w:tcW w:type="dxa" w:w="165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312"/>
            <w:tcMar>
              <w:top w:type="dxa" w:w="70"/>
              <w:left w:type="dxa" w:w="100"/>
              <w:bottom w:type="dxa" w:w="70"/>
              <w:right w:type="dxa" w:w="100"/>
            </w:tcMar>
            <w:vAlign w:val="center"/>
          </w:tcPr>
          <w:p>
            <w:pPr>
              <w:spacing w:after="0" w:line="240"/>
              <w:jc w:val="left"/>
            </w:pPr>
          </w:p>
        </w:tc>
      </w:tr>
      <w:tr>
        <w:tc>
          <w:tcPr>
            <w:tcW w:type="dxa" w:w="902"/>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24</w:t>
            </w:r>
          </w:p>
        </w:tc>
        <w:tc>
          <w:tcPr>
            <w:tcW w:type="dxa" w:w="165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3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Half way</w:t>
            </w:r>
          </w:p>
        </w:tc>
      </w:tr>
      <w:tr>
        <w:tc>
          <w:tcPr>
            <w:tcW w:type="dxa" w:w="902"/>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30</w:t>
            </w:r>
          </w:p>
        </w:tc>
        <w:tc>
          <w:tcPr>
            <w:tcW w:type="dxa" w:w="165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312"/>
            <w:tcMar>
              <w:top w:type="dxa" w:w="70"/>
              <w:left w:type="dxa" w:w="100"/>
              <w:bottom w:type="dxa" w:w="70"/>
              <w:right w:type="dxa" w:w="100"/>
            </w:tcMar>
            <w:vAlign w:val="center"/>
          </w:tcPr>
          <w:p>
            <w:pPr>
              <w:spacing w:after="0" w:line="240"/>
              <w:jc w:val="left"/>
            </w:pPr>
          </w:p>
        </w:tc>
      </w:tr>
      <w:tr>
        <w:tc>
          <w:tcPr>
            <w:tcW w:type="dxa" w:w="902"/>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36</w:t>
            </w:r>
          </w:p>
        </w:tc>
        <w:tc>
          <w:tcPr>
            <w:tcW w:type="dxa" w:w="165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312"/>
            <w:tcMar>
              <w:top w:type="dxa" w:w="70"/>
              <w:left w:type="dxa" w:w="100"/>
              <w:bottom w:type="dxa" w:w="70"/>
              <w:right w:type="dxa" w:w="100"/>
            </w:tcMar>
            <w:vAlign w:val="center"/>
          </w:tcPr>
          <w:p>
            <w:pPr>
              <w:spacing w:after="0" w:line="240"/>
              <w:jc w:val="left"/>
            </w:pPr>
          </w:p>
        </w:tc>
      </w:tr>
      <w:tr>
        <w:tc>
          <w:tcPr>
            <w:tcW w:type="dxa" w:w="902"/>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42</w:t>
            </w:r>
          </w:p>
        </w:tc>
        <w:tc>
          <w:tcPr>
            <w:tcW w:type="dxa" w:w="165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312"/>
            <w:tcMar>
              <w:top w:type="dxa" w:w="70"/>
              <w:left w:type="dxa" w:w="100"/>
              <w:bottom w:type="dxa" w:w="70"/>
              <w:right w:type="dxa" w:w="100"/>
            </w:tcMar>
            <w:vAlign w:val="center"/>
          </w:tcPr>
          <w:p>
            <w:pPr>
              <w:spacing w:after="0" w:line="240"/>
              <w:jc w:val="left"/>
            </w:pPr>
          </w:p>
        </w:tc>
      </w:tr>
      <w:tr>
        <w:tc>
          <w:tcPr>
            <w:tcW w:type="dxa" w:w="902"/>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47</w:t>
            </w:r>
          </w:p>
        </w:tc>
        <w:tc>
          <w:tcPr>
            <w:tcW w:type="dxa" w:w="165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5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312"/>
            <w:tcMar>
              <w:top w:type="dxa" w:w="70"/>
              <w:left w:type="dxa" w:w="100"/>
              <w:bottom w:type="dxa" w:w="70"/>
              <w:right w:type="dxa" w:w="100"/>
            </w:tcMar>
            <w:vAlign w:val="center"/>
          </w:tcPr>
          <w:p>
            <w:pPr>
              <w:spacing w:after="0" w:line="240"/>
              <w:jc w:val="left"/>
            </w:pPr>
          </w:p>
        </w:tc>
      </w:tr>
      <w:tr>
        <w:tc>
          <w:tcPr>
            <w:tcW w:type="dxa" w:w="902"/>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48</w:t>
            </w:r>
          </w:p>
        </w:tc>
        <w:tc>
          <w:tcPr>
            <w:tcW w:type="dxa" w:w="165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15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100%</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Nil</w:t>
            </w:r>
          </w:p>
        </w:tc>
        <w:tc>
          <w:tcPr>
            <w:tcW w:type="dxa" w:w="25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331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Fully vested</w:t>
            </w:r>
            <w:r>
              <w:rPr>
                <w:rFonts w:ascii="Calibri" w:cs="Calibri" w:eastAsia="Calibri" w:hAnsi="Calibri"/>
                <w:sz w:val="17"/>
                <w:szCs w:val="17"/>
              </w:rPr>
              <w:t xml:space="preserve">, including accumulated fractions</w:t>
            </w:r>
          </w:p>
        </w:tc>
      </w:tr>
    </w:tbl>
    <w:p>
      <w:pPr>
        <w:spacing w:after="140"/>
      </w:pPr>
    </w:p>
    <w:p>
      <w:pPr>
        <w:spacing w:after="180" w:before="0" w:line="276"/>
        <w:jc w:val="both"/>
      </w:pPr>
      <w:r>
        <w:rPr>
          <w:rFonts w:ascii="Calibri" w:cs="Calibri" w:eastAsia="Calibri" w:hAnsi="Calibri"/>
          <w:i/>
          <w:iCs/>
          <w:sz w:val="21"/>
          <w:szCs w:val="21"/>
        </w:rPr>
        <w:t xml:space="preserve">Rows for the intervening months are omitted above for space. The schedule attached to a grant letter must list every vesting date without omission.</w:t>
      </w:r>
    </w:p>
    <w:p>
      <w:pPr>
        <w:spacing w:after="60" w:before="240"/>
        <w:jc w:val="center"/>
      </w:pPr>
      <w:r>
        <w:rPr>
          <w:rFonts w:ascii="Calibri" w:cs="Calibri" w:eastAsia="Calibri" w:hAnsi="Calibri"/>
          <w:b/>
          <w:bCs/>
          <w:color w:val="14161B"/>
          <w:spacing w:val="12"/>
          <w:sz w:val="28"/>
          <w:szCs w:val="28"/>
        </w:rPr>
        <w:t xml:space="preserve">4. LEAVER SCENARIOS</w:t>
      </w:r>
    </w:p>
    <w:p>
      <w:pPr>
        <w:spacing w:after="260"/>
        <w:jc w:val="center"/>
      </w:pPr>
      <w:r>
        <w:rPr>
          <w:rFonts w:ascii="Calibri" w:cs="Calibri" w:eastAsia="Calibri" w:hAnsi="Calibri"/>
          <w:i/>
          <w:iCs/>
          <w:color w:val="6E7480"/>
          <w:sz w:val="19"/>
          <w:szCs w:val="19"/>
        </w:rPr>
        <w:t xml:space="preserve">What the holder actually keeps</w:t>
      </w:r>
    </w:p>
    <w:p>
      <w:pPr>
        <w:spacing w:after="140" w:before="0" w:line="276"/>
        <w:jc w:val="both"/>
      </w:pPr>
      <w:r>
        <w:rPr>
          <w:rFonts w:ascii="Calibri" w:cs="Calibri" w:eastAsia="Calibri" w:hAnsi="Calibri"/>
          <w:sz w:val="21"/>
          <w:szCs w:val="21"/>
        </w:rPr>
        <w:t xml:space="preserve">Complete this for the actual grant. It is the table holders ask about, and answering it in advance prevents most disputes at exit.</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3007"/>
        <w:gridCol w:w="1503"/>
        <w:gridCol w:w="1503"/>
        <w:gridCol w:w="2556"/>
        <w:gridCol w:w="2255"/>
        <w:gridCol w:w="2105"/>
        <w:gridCol w:w="2109"/>
      </w:tblGrid>
      <w:tr>
        <w:trPr>
          <w:tblHeader/>
        </w:trPr>
        <w:tc>
          <w:tcPr>
            <w:tcW w:type="dxa" w:w="30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Scenario</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Timing</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Vested at that date</w:t>
            </w:r>
          </w:p>
        </w:tc>
        <w:tc>
          <w:tcPr>
            <w:tcW w:type="dxa" w:w="25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Unvested — treatment</w:t>
            </w:r>
          </w:p>
        </w:tc>
        <w:tc>
          <w:tcPr>
            <w:tcW w:type="dxa" w:w="22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Vested — treatment</w:t>
            </w:r>
          </w:p>
        </w:tc>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Exercise window</w:t>
            </w:r>
          </w:p>
        </w:tc>
        <w:tc>
          <w:tcPr>
            <w:tcW w:type="dxa" w:w="21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Net units retained if exercised</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Resignation before the cliff</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 </w:t>
            </w:r>
            <w:r>
              <w:rPr>
                <w:rFonts w:ascii="Calibri" w:cs="Calibri" w:eastAsia="Calibri" w:hAnsi="Calibri"/>
                <w:b/>
                <w:bCs/>
                <w:sz w:val="16"/>
                <w:szCs w:val="16"/>
              </w:rPr>
              <w:t xml:space="preserve">[6]</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Lapse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Lapse (nothing vested)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 applicable</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Nil</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Resignation after the cliff</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 </w:t>
            </w:r>
            <w:r>
              <w:rPr>
                <w:rFonts w:ascii="Calibri" w:cs="Calibri" w:eastAsia="Calibri" w:hAnsi="Calibri"/>
                <w:b/>
                <w:bCs/>
                <w:sz w:val="16"/>
                <w:szCs w:val="16"/>
              </w:rPr>
              <w:t xml:space="preserve">[18]</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Lapse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Exercisable</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r>
              <w:rPr>
                <w:rFonts w:ascii="Calibri" w:cs="Calibri" w:eastAsia="Calibri" w:hAnsi="Calibri"/>
                <w:sz w:val="16"/>
                <w:szCs w:val="16"/>
              </w:rPr>
              <w:t xml:space="preserve"> days from the last working day</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Termination without cause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 </w:t>
            </w:r>
            <w:r>
              <w:rPr>
                <w:rFonts w:ascii="Calibri" w:cs="Calibri" w:eastAsia="Calibri" w:hAnsi="Calibri"/>
                <w:b/>
                <w:bCs/>
                <w:sz w:val="16"/>
                <w:szCs w:val="16"/>
              </w:rPr>
              <w:t xml:space="preserve">[24]</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Lapse </w:t>
            </w:r>
            <w:r>
              <w:rPr>
                <w:rFonts w:ascii="Calibri" w:cs="Calibri" w:eastAsia="Calibri" w:hAnsi="Calibri"/>
                <w:b/>
                <w:bCs/>
                <w:sz w:val="16"/>
                <w:szCs w:val="16"/>
              </w:rPr>
              <w:t xml:space="preserve">[, unless accelerated]</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Exercisable</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r>
              <w:rPr>
                <w:rFonts w:ascii="Calibri" w:cs="Calibri" w:eastAsia="Calibri" w:hAnsi="Calibri"/>
                <w:sz w:val="16"/>
                <w:szCs w:val="16"/>
              </w:rPr>
              <w:t xml:space="preserve"> days</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Termination for cause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Any</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Lapse immediately</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Lapse immediately</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Nil</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Death</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 </w:t>
            </w:r>
            <w:r>
              <w:rPr>
                <w:rFonts w:ascii="Calibri" w:cs="Calibri" w:eastAsia="Calibri" w:hAnsi="Calibri"/>
                <w:b/>
                <w:bCs/>
                <w:sz w:val="16"/>
                <w:szCs w:val="16"/>
              </w:rPr>
              <w:t xml:space="preserve">[20]</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Vest in full</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Exercisable by heirs or nominee</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r>
              <w:rPr>
                <w:rFonts w:ascii="Calibri" w:cs="Calibri" w:eastAsia="Calibri" w:hAnsi="Calibri"/>
                <w:sz w:val="16"/>
                <w:szCs w:val="16"/>
              </w:rPr>
              <w:t xml:space="preserve"> months</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r>
              <w:rPr>
                <w:rFonts w:ascii="Calibri" w:cs="Calibri" w:eastAsia="Calibri" w:hAnsi="Calibri"/>
                <w:b/>
                <w:bCs/>
                <w:sz w:val="16"/>
                <w:szCs w:val="16"/>
              </w:rPr>
              <w:t xml:space="preserve"> (all)</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Permanent incapacity</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 </w:t>
            </w:r>
            <w:r>
              <w:rPr>
                <w:rFonts w:ascii="Calibri" w:cs="Calibri" w:eastAsia="Calibri" w:hAnsi="Calibri"/>
                <w:b/>
                <w:bCs/>
                <w:sz w:val="16"/>
                <w:szCs w:val="16"/>
              </w:rPr>
              <w:t xml:space="preserve">[20]</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Vest in full</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Exercisable</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r>
              <w:rPr>
                <w:rFonts w:ascii="Calibri" w:cs="Calibri" w:eastAsia="Calibri" w:hAnsi="Calibri"/>
                <w:sz w:val="16"/>
                <w:szCs w:val="16"/>
              </w:rPr>
              <w:t xml:space="preserve"> months</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r>
              <w:rPr>
                <w:rFonts w:ascii="Calibri" w:cs="Calibri" w:eastAsia="Calibri" w:hAnsi="Calibri"/>
                <w:b/>
                <w:bCs/>
                <w:sz w:val="16"/>
                <w:szCs w:val="16"/>
              </w:rPr>
              <w:t xml:space="preserve"> (all)</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Change of control, holder stays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 </w:t>
            </w:r>
            <w:r>
              <w:rPr>
                <w:rFonts w:ascii="Calibri" w:cs="Calibri" w:eastAsia="Calibri" w:hAnsi="Calibri"/>
                <w:b/>
                <w:bCs/>
                <w:sz w:val="16"/>
                <w:szCs w:val="16"/>
              </w:rPr>
              <w:t xml:space="preserve">[30]</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[PERCENTAGE]</w:t>
            </w:r>
            <w:r>
              <w:rPr>
                <w:rFonts w:ascii="Calibri" w:cs="Calibri" w:eastAsia="Calibri" w:hAnsi="Calibri"/>
                <w:sz w:val="16"/>
                <w:szCs w:val="16"/>
              </w:rPr>
              <w:t xml:space="preserve">% accelerate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Unaffected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Per the Scheme</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Change of control, then terminated without cause within 12 months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 </w:t>
            </w:r>
            <w:r>
              <w:rPr>
                <w:rFonts w:ascii="Calibri" w:cs="Calibri" w:eastAsia="Calibri" w:hAnsi="Calibri"/>
                <w:b/>
                <w:bCs/>
                <w:sz w:val="16"/>
                <w:szCs w:val="16"/>
              </w:rPr>
              <w:t xml:space="preserve">[34]</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All accelerate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Exercisable</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Per the Scheme</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r>
              <w:rPr>
                <w:rFonts w:ascii="Calibri" w:cs="Calibri" w:eastAsia="Calibri" w:hAnsi="Calibri"/>
                <w:b/>
                <w:bCs/>
                <w:sz w:val="16"/>
                <w:szCs w:val="16"/>
              </w:rPr>
              <w:t xml:space="preserve"> (all)</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Unpaid sabbatical of 4 months, then return</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Months </w:t>
            </w:r>
            <w:r>
              <w:rPr>
                <w:rFonts w:ascii="Calibri" w:cs="Calibri" w:eastAsia="Calibri" w:hAnsi="Calibri"/>
                <w:b/>
                <w:bCs/>
                <w:sz w:val="16"/>
                <w:szCs w:val="16"/>
              </w:rPr>
              <w:t xml:space="preserve">[20]</w:t>
            </w:r>
            <w:r>
              <w:rPr>
                <w:rFonts w:ascii="Calibri" w:cs="Calibri" w:eastAsia="Calibri" w:hAnsi="Calibri"/>
                <w:sz w:val="16"/>
                <w:szCs w:val="16"/>
              </w:rPr>
              <w:t xml:space="preserve">–</w:t>
            </w:r>
            <w:r>
              <w:rPr>
                <w:rFonts w:ascii="Calibri" w:cs="Calibri" w:eastAsia="Calibri" w:hAnsi="Calibri"/>
                <w:b/>
                <w:bCs/>
                <w:sz w:val="16"/>
                <w:szCs w:val="16"/>
              </w:rPr>
              <w:t xml:space="preserve">[24]</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[NUMBER]</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Vesting suspended; dates deferred by 4 months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Unaffected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Per the Scheme</w:t>
            </w:r>
          </w:p>
        </w:tc>
        <w:tc>
          <w:tcPr>
            <w:tcW w:type="dxa" w:w="210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Full grant, 4 months later</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spacing w:after="60" w:before="240"/>
        <w:jc w:val="center"/>
      </w:pPr>
      <w:r>
        <w:rPr>
          <w:rFonts w:ascii="Calibri" w:cs="Calibri" w:eastAsia="Calibri" w:hAnsi="Calibri"/>
          <w:b/>
          <w:bCs/>
          <w:color w:val="14161B"/>
          <w:spacing w:val="12"/>
          <w:sz w:val="28"/>
          <w:szCs w:val="28"/>
        </w:rPr>
        <w:t xml:space="preserve">5. REVERSE VESTING VARIANT</w:t>
      </w:r>
    </w:p>
    <w:p>
      <w:pPr>
        <w:spacing w:after="260"/>
        <w:jc w:val="center"/>
      </w:pPr>
      <w:r>
        <w:rPr>
          <w:rFonts w:ascii="Calibri" w:cs="Calibri" w:eastAsia="Calibri" w:hAnsi="Calibri"/>
          <w:i/>
          <w:iCs/>
          <w:color w:val="6E7480"/>
          <w:sz w:val="19"/>
          <w:szCs w:val="19"/>
        </w:rPr>
        <w:t xml:space="preserve">For founder shares already owned</w:t>
      </w:r>
    </w:p>
    <w:p>
      <w:pPr>
        <w:spacing w:after="140" w:before="0" w:line="276"/>
        <w:jc w:val="both"/>
      </w:pPr>
      <w:r>
        <w:rPr>
          <w:rFonts w:ascii="Calibri" w:cs="Calibri" w:eastAsia="Calibri" w:hAnsi="Calibri"/>
          <w:sz w:val="21"/>
          <w:szCs w:val="21"/>
        </w:rPr>
        <w:t xml:space="preserve">Where the holder already owns the shares and the Company holds a right to repurchase the unvested portion, the same schedule applies but the columns mean the opposite: what is scheduled is the release of shares from the repurchase right, not the acquisition of a right to buy.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963"/>
        <w:gridCol w:w="1542"/>
        <w:gridCol w:w="2313"/>
        <w:gridCol w:w="1542"/>
        <w:gridCol w:w="1734"/>
        <w:gridCol w:w="1544"/>
      </w:tblGrid>
      <w:tr>
        <w:trPr>
          <w:tblHeader/>
        </w:trPr>
        <w:tc>
          <w:tcPr>
            <w:tcW w:type="dxa" w:w="96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Month</w:t>
            </w:r>
          </w:p>
        </w:tc>
        <w:tc>
          <w:tcPr>
            <w:tcW w:type="dxa" w:w="1542"/>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231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Shares released from the repurchase right</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Cumulative released</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Still subject to repurchase</w:t>
            </w:r>
          </w:p>
        </w:tc>
        <w:tc>
          <w:tcPr>
            <w:tcW w:type="dxa" w:w="154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Repurchase price if the holder left on this date (₹)</w:t>
            </w:r>
          </w:p>
        </w:tc>
      </w:tr>
      <w:tr>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0</w:t>
            </w:r>
          </w:p>
        </w:tc>
        <w:tc>
          <w:tcPr>
            <w:tcW w:type="dxa" w:w="1542"/>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12</w:t>
            </w:r>
          </w:p>
        </w:tc>
        <w:tc>
          <w:tcPr>
            <w:tcW w:type="dxa" w:w="1542"/>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24</w:t>
            </w:r>
          </w:p>
        </w:tc>
        <w:tc>
          <w:tcPr>
            <w:tcW w:type="dxa" w:w="1542"/>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36</w:t>
            </w:r>
          </w:p>
        </w:tc>
        <w:tc>
          <w:tcPr>
            <w:tcW w:type="dxa" w:w="1542"/>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48</w:t>
            </w:r>
          </w:p>
        </w:tc>
        <w:tc>
          <w:tcPr>
            <w:tcW w:type="dxa" w:w="1542"/>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Nil</w:t>
            </w:r>
          </w:p>
        </w:tc>
        <w:tc>
          <w:tcPr>
            <w:tcW w:type="dxa" w:w="154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Nil</w:t>
            </w:r>
          </w:p>
        </w:tc>
      </w:tr>
    </w:tbl>
    <w:p>
      <w:pPr>
        <w:spacing w:after="160"/>
      </w:pPr>
    </w:p>
    <w:p>
      <w:pPr>
        <w:spacing w:after="60" w:before="240"/>
        <w:jc w:val="center"/>
      </w:pPr>
      <w:r>
        <w:rPr>
          <w:rFonts w:ascii="Calibri" w:cs="Calibri" w:eastAsia="Calibri" w:hAnsi="Calibri"/>
          <w:b/>
          <w:bCs/>
          <w:color w:val="14161B"/>
          <w:spacing w:val="12"/>
          <w:sz w:val="28"/>
          <w:szCs w:val="28"/>
        </w:rPr>
        <w:t xml:space="preserve">6. VERIFICATION</w:t>
      </w:r>
    </w:p>
    <w:p>
      <w:pPr>
        <w:spacing w:after="260"/>
        <w:jc w:val="center"/>
      </w:pPr>
      <w:r>
        <w:rPr>
          <w:rFonts w:ascii="Calibri" w:cs="Calibri" w:eastAsia="Calibri" w:hAnsi="Calibri"/>
          <w:i/>
          <w:iCs/>
          <w:color w:val="6E7480"/>
          <w:sz w:val="19"/>
          <w:szCs w:val="19"/>
        </w:rPr>
        <w:t xml:space="preserve">Check before issuing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7517"/>
        <w:gridCol w:w="1543"/>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Check</w:t>
            </w:r>
          </w:p>
        </w:tc>
        <w:tc>
          <w:tcPr>
            <w:tcW w:type="dxa" w:w="154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Confirmed</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total of the "units vesting" column equals the total granted, with no residual fraction</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first vesting date is not earlier than one year after the grant date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vesting commencement date matches the grant letter and the option register</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Every vesting date is a real calendar date, with month-end handling applied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credit for prior service is stated as a number, not only as a percentage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exercise price and the exercise cost column agree with the grant letter</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leaver scenarios match the Scheme, not a different precedent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schedule has been attached to the grant letter and filed with the option register</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Dates and numbers, never percentages alone</w:t>
      </w:r>
    </w:p>
    <w:p>
      <w:pPr>
        <w:spacing w:after="60" w:line="264"/>
        <w:jc w:val="both"/>
      </w:pPr>
      <w:r>
        <w:rPr>
          <w:rFonts w:ascii="Calibri" w:cs="Calibri" w:eastAsia="Calibri" w:hAnsi="Calibri"/>
          <w:sz w:val="19"/>
          <w:szCs w:val="19"/>
        </w:rPr>
        <w:t xml:space="preserve">A schedule that says "25 per cent after one year, then monthly" leaves three questions unanswered: on which day of the month, how fractions are handled, and what the actual dates are. Every one of those becomes a dispute at exit. Generate the full table with real dates and whole numbers, and attach it.</w:t>
      </w:r>
    </w:p>
    <w:p>
      <w:pPr>
        <w:keepNext/>
        <w:spacing w:after="40" w:before="140"/>
      </w:pPr>
      <w:r>
        <w:rPr>
          <w:rFonts w:ascii="Calibri" w:cs="Calibri" w:eastAsia="Calibri" w:hAnsi="Calibri"/>
          <w:b/>
          <w:bCs/>
          <w:color w:val="14161B"/>
          <w:sz w:val="20"/>
          <w:szCs w:val="20"/>
        </w:rPr>
        <w:t xml:space="preserve">The one-year minimum is a legal requirement, not a convention</w:t>
      </w:r>
    </w:p>
    <w:p>
      <w:pPr>
        <w:spacing w:after="60" w:line="264"/>
        <w:jc w:val="both"/>
      </w:pPr>
      <w:r>
        <w:rPr>
          <w:rFonts w:ascii="Calibri" w:cs="Calibri" w:eastAsia="Calibri" w:hAnsi="Calibri"/>
          <w:sz w:val="19"/>
          <w:szCs w:val="19"/>
        </w:rPr>
        <w:t xml:space="preserve">For stock options there must be a minimum period between grant and vesting, which may not be less than one year. A schedule with a first vesting date inside that period is void as to that tranche. Check 2 on the verification list exists for that reason. Acceleration on death or permanent incapacity is treated differently.</w:t>
      </w:r>
    </w:p>
    <w:p>
      <w:pPr>
        <w:keepNext/>
        <w:spacing w:after="40" w:before="140"/>
      </w:pPr>
      <w:r>
        <w:rPr>
          <w:rFonts w:ascii="Calibri" w:cs="Calibri" w:eastAsia="Calibri" w:hAnsi="Calibri"/>
          <w:b/>
          <w:bCs/>
          <w:color w:val="14161B"/>
          <w:sz w:val="20"/>
          <w:szCs w:val="20"/>
        </w:rPr>
        <w:t xml:space="preserve">Fractions must reconcile</w:t>
      </w:r>
    </w:p>
    <w:p>
      <w:pPr>
        <w:spacing w:after="60" w:line="264"/>
        <w:jc w:val="both"/>
      </w:pPr>
      <w:r>
        <w:rPr>
          <w:rFonts w:ascii="Calibri" w:cs="Calibri" w:eastAsia="Calibri" w:hAnsi="Calibri"/>
          <w:sz w:val="19"/>
          <w:szCs w:val="19"/>
        </w:rPr>
        <w:t xml:space="preserve">Rounding down each instalment leaves a residue. If it is not swept into the final instalment, the holder never vests the full grant and the register will not reconcile to the pool. Check 1 catches it. This is the single most common arithmetic error in vesting schedules.</w:t>
      </w:r>
    </w:p>
    <w:p>
      <w:pPr>
        <w:keepNext/>
        <w:spacing w:after="40" w:before="140"/>
      </w:pPr>
      <w:r>
        <w:rPr>
          <w:rFonts w:ascii="Calibri" w:cs="Calibri" w:eastAsia="Calibri" w:hAnsi="Calibri"/>
          <w:b/>
          <w:bCs/>
          <w:color w:val="14161B"/>
          <w:sz w:val="20"/>
          <w:szCs w:val="20"/>
        </w:rPr>
        <w:t xml:space="preserve">Month-end dates</w:t>
      </w:r>
    </w:p>
    <w:p>
      <w:pPr>
        <w:spacing w:after="60" w:line="264"/>
        <w:jc w:val="both"/>
      </w:pPr>
      <w:r>
        <w:rPr>
          <w:rFonts w:ascii="Calibri" w:cs="Calibri" w:eastAsia="Calibri" w:hAnsi="Calibri"/>
          <w:sz w:val="19"/>
          <w:szCs w:val="19"/>
        </w:rPr>
        <w:t xml:space="preserve">A vesting commencement date of the 31st has no counterpart in February, April, June, September or November. State the convention — vesting on the last day of the month where there is no matching day — rather than leaving the schedule to generate impossible dates.</w:t>
      </w:r>
    </w:p>
    <w:p>
      <w:pPr>
        <w:keepNext/>
        <w:spacing w:after="40" w:before="140"/>
      </w:pPr>
      <w:r>
        <w:rPr>
          <w:rFonts w:ascii="Calibri" w:cs="Calibri" w:eastAsia="Calibri" w:hAnsi="Calibri"/>
          <w:b/>
          <w:bCs/>
          <w:color w:val="14161B"/>
          <w:sz w:val="20"/>
          <w:szCs w:val="20"/>
        </w:rPr>
        <w:t xml:space="preserve">The leaver table is what people actually want to know</w:t>
      </w:r>
    </w:p>
    <w:p>
      <w:pPr>
        <w:spacing w:after="60" w:line="264"/>
        <w:jc w:val="both"/>
      </w:pPr>
      <w:r>
        <w:rPr>
          <w:rFonts w:ascii="Calibri" w:cs="Calibri" w:eastAsia="Calibri" w:hAnsi="Calibri"/>
          <w:sz w:val="19"/>
          <w:szCs w:val="19"/>
        </w:rPr>
        <w:t xml:space="preserve">Holders rarely ask about the vesting formula. They ask what happens if they leave in month eighteen, or if the company is sold. Section 4 answers those questions in advance, with numbers. Giving it at grant, rather than at exit, converts a likely argument into an informed decision.</w:t>
      </w:r>
    </w:p>
    <w:p>
      <w:pPr>
        <w:keepNext/>
        <w:spacing w:after="40" w:before="140"/>
      </w:pPr>
      <w:r>
        <w:rPr>
          <w:rFonts w:ascii="Calibri" w:cs="Calibri" w:eastAsia="Calibri" w:hAnsi="Calibri"/>
          <w:b/>
          <w:bCs/>
          <w:color w:val="14161B"/>
          <w:sz w:val="20"/>
          <w:szCs w:val="20"/>
        </w:rPr>
        <w:t xml:space="preserve">Suspension needs a revised schedule</w:t>
      </w:r>
    </w:p>
    <w:p>
      <w:pPr>
        <w:spacing w:after="60" w:line="264"/>
        <w:jc w:val="both"/>
      </w:pPr>
      <w:r>
        <w:rPr>
          <w:rFonts w:ascii="Calibri" w:cs="Calibri" w:eastAsia="Calibri" w:hAnsi="Calibri"/>
          <w:sz w:val="19"/>
          <w:szCs w:val="19"/>
        </w:rPr>
        <w:t xml:space="preserve">If vesting is suspended for unpaid leave, every subsequent date moves. Issue a revised schedule at that point and file it. Companies that record the suspension in an email and never redo the schedule find, two years later, that nobody can say what has vested.</w:t>
      </w:r>
    </w:p>
    <w:p>
      <w:pPr>
        <w:keepNext/>
        <w:spacing w:after="40" w:before="140"/>
      </w:pPr>
      <w:r>
        <w:rPr>
          <w:rFonts w:ascii="Calibri" w:cs="Calibri" w:eastAsia="Calibri" w:hAnsi="Calibri"/>
          <w:b/>
          <w:bCs/>
          <w:color w:val="14161B"/>
          <w:sz w:val="20"/>
          <w:szCs w:val="20"/>
        </w:rPr>
        <w:t xml:space="preserve">Credit for prior service as a number</w:t>
      </w:r>
    </w:p>
    <w:p>
      <w:pPr>
        <w:spacing w:after="60" w:line="264"/>
        <w:jc w:val="both"/>
      </w:pPr>
      <w:r>
        <w:rPr>
          <w:rFonts w:ascii="Calibri" w:cs="Calibri" w:eastAsia="Calibri" w:hAnsi="Calibri"/>
          <w:sz w:val="19"/>
          <w:szCs w:val="19"/>
        </w:rPr>
        <w:t xml:space="preserve">Where a founder or early employee is credited with vesting for time already served, express it as a number of units vested on day one, not as a percentage. Percentages of a number that later changes through a corporate action produce inconsistent results.</w:t>
      </w:r>
    </w:p>
    <w:p>
      <w:pPr>
        <w:keepNext/>
        <w:spacing w:after="40" w:before="140"/>
      </w:pPr>
      <w:r>
        <w:rPr>
          <w:rFonts w:ascii="Calibri" w:cs="Calibri" w:eastAsia="Calibri" w:hAnsi="Calibri"/>
          <w:b/>
          <w:bCs/>
          <w:color w:val="14161B"/>
          <w:sz w:val="20"/>
          <w:szCs w:val="20"/>
        </w:rPr>
        <w:t xml:space="preserve">Reverse vesting reads the other way</w:t>
      </w:r>
    </w:p>
    <w:p>
      <w:pPr>
        <w:spacing w:after="60" w:line="264"/>
        <w:jc w:val="both"/>
      </w:pPr>
      <w:r>
        <w:rPr>
          <w:rFonts w:ascii="Calibri" w:cs="Calibri" w:eastAsia="Calibri" w:hAnsi="Calibri"/>
          <w:sz w:val="19"/>
          <w:szCs w:val="19"/>
        </w:rPr>
        <w:t xml:space="preserve">For founder shares, the holder already owns everything and the schedule releases shares from a repurchase right. The arithmetic is identical, but the columns mean the opposite, and the crucial extra column is the repurchase price on each date. Section 5 provides it. Founders consistently misread a standard vesting table as meaning they do not yet own the shares.</w:t>
      </w:r>
    </w:p>
    <w:p>
      <w:pPr>
        <w:keepNext/>
        <w:spacing w:after="40" w:before="140"/>
      </w:pPr>
      <w:r>
        <w:rPr>
          <w:rFonts w:ascii="Calibri" w:cs="Calibri" w:eastAsia="Calibri" w:hAnsi="Calibri"/>
          <w:b/>
          <w:bCs/>
          <w:color w:val="14161B"/>
          <w:sz w:val="20"/>
          <w:szCs w:val="20"/>
        </w:rPr>
        <w:t xml:space="preserve">Keep the schedule with the register</w:t>
      </w:r>
    </w:p>
    <w:p>
      <w:pPr>
        <w:spacing w:after="60" w:line="264"/>
        <w:jc w:val="both"/>
      </w:pPr>
      <w:r>
        <w:rPr>
          <w:rFonts w:ascii="Calibri" w:cs="Calibri" w:eastAsia="Calibri" w:hAnsi="Calibri"/>
          <w:sz w:val="19"/>
          <w:szCs w:val="19"/>
        </w:rPr>
        <w:t xml:space="preserve">The schedule is the working that supports every entry in the option register. When a company is acquired, the acquirer reconstructs vesting from these schedules. Filing them with the register at issue costs nothing; reconstructing them from grant letters and email years later is expensive.</w:t>
      </w:r>
    </w:p>
    <w:p>
      <w:pPr>
        <w:keepNext/>
        <w:spacing w:after="40" w:before="140"/>
      </w:pPr>
      <w:r>
        <w:rPr>
          <w:rFonts w:ascii="Calibri" w:cs="Calibri" w:eastAsia="Calibri" w:hAnsi="Calibri"/>
          <w:b/>
          <w:bCs/>
          <w:color w:val="14161B"/>
          <w:sz w:val="20"/>
          <w:szCs w:val="20"/>
        </w:rPr>
        <w:t xml:space="preserve">Revise on every corporate action</w:t>
      </w:r>
    </w:p>
    <w:p>
      <w:pPr>
        <w:spacing w:after="60" w:line="264"/>
        <w:jc w:val="both"/>
      </w:pPr>
      <w:r>
        <w:rPr>
          <w:rFonts w:ascii="Calibri" w:cs="Calibri" w:eastAsia="Calibri" w:hAnsi="Calibri"/>
          <w:sz w:val="19"/>
          <w:szCs w:val="19"/>
        </w:rPr>
        <w:t xml:space="preserve">A bonus issue or a share split changes every number in the schedule. Issue revised schedules to all holders at the time, rather than leaving the original in circulation alongside an adjusted register.</w:t>
      </w:r>
    </w:p>
    <w:p>
      <w:pPr>
        <w:keepNext/>
        <w:spacing w:after="40" w:before="140"/>
      </w:pPr>
      <w:r>
        <w:rPr>
          <w:rFonts w:ascii="Calibri" w:cs="Calibri" w:eastAsia="Calibri" w:hAnsi="Calibri"/>
          <w:b/>
          <w:bCs/>
          <w:color w:val="14161B"/>
          <w:sz w:val="20"/>
          <w:szCs w:val="20"/>
        </w:rPr>
        <w:t xml:space="preserve">Quarterly vesting is easier to administer</w:t>
      </w:r>
    </w:p>
    <w:p>
      <w:pPr>
        <w:spacing w:after="60" w:line="264"/>
        <w:jc w:val="both"/>
      </w:pPr>
      <w:r>
        <w:rPr>
          <w:rFonts w:ascii="Calibri" w:cs="Calibri" w:eastAsia="Calibri" w:hAnsi="Calibri"/>
          <w:sz w:val="19"/>
          <w:szCs w:val="19"/>
        </w:rPr>
        <w:t xml:space="preserve">Monthly vesting is the market convention and generates forty-eight rows and forty-eight opportunities for a date error. Quarterly vesting after the cliff delivers almost the same economics with a quarter of the administration. For a company without dedicated equity administration, it is worth considering.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and market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minimum vesting period and the leaver treatment must match the Company’s scheme as approved by its members — check this schedule against that scheme, not against a precedent from another company.</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2026-08-21T12:53:54.520Z</dcterms:created>
  <dcterms:modified xsi:type="dcterms:W3CDTF">2026-08-21T12:53:54.520Z</dcterms:modified>
</cp:coreProperties>
</file>

<file path=docProps/custom.xml><?xml version="1.0" encoding="utf-8"?>
<Properties xmlns="http://schemas.openxmlformats.org/officeDocument/2006/custom-properties" xmlns:vt="http://schemas.openxmlformats.org/officeDocument/2006/docPropsVTypes"/>
</file>