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VENDOR AGREEMENT</w:t>
      </w:r>
    </w:p>
    <w:p>
      <w:pPr>
        <w:spacing w:after="260"/>
        <w:jc w:val="center"/>
      </w:pPr>
      <w:r>
        <w:rPr>
          <w:rFonts w:ascii="Calibri" w:cs="Calibri" w:eastAsia="Calibri" w:hAnsi="Calibri"/>
          <w:i/>
          <w:iCs/>
          <w:color w:val="6E7480"/>
          <w:sz w:val="19"/>
          <w:szCs w:val="19"/>
        </w:rPr>
        <w:t xml:space="preserve">Supply of goods and/or services on a purchase-order basis</w:t>
      </w:r>
    </w:p>
    <w:p>
      <w:pPr>
        <w:spacing w:after="180" w:before="0" w:line="276"/>
        <w:jc w:val="both"/>
      </w:pPr>
      <w:r>
        <w:rPr>
          <w:rFonts w:ascii="Calibri" w:cs="Calibri" w:eastAsia="Calibri" w:hAnsi="Calibri"/>
          <w:i/>
          <w:iCs/>
          <w:color w:val="6E7480"/>
          <w:sz w:val="21"/>
          <w:szCs w:val="21"/>
        </w:rPr>
        <w:t xml:space="preserve">The clauses that matter here are the unglamorous ones: acceptance, what happens when goods are rejected, who bears risk in transit, and how price changes. Disputes with suppliers are almost never about the headline price.</w:t>
      </w:r>
    </w:p>
    <w:p>
      <w:pPr>
        <w:spacing w:after="160" w:before="0" w:line="276"/>
        <w:jc w:val="both"/>
      </w:pPr>
      <w:r>
        <w:rPr>
          <w:rFonts w:ascii="Calibri" w:cs="Calibri" w:eastAsia="Calibri" w:hAnsi="Calibri"/>
          <w:sz w:val="21"/>
          <w:szCs w:val="21"/>
        </w:rPr>
        <w:t xml:space="preserve">This Vendor Agreement (this "</w:t>
      </w:r>
      <w:r>
        <w:rPr>
          <w:rFonts w:ascii="Calibri" w:cs="Calibri" w:eastAsia="Calibri" w:hAnsi="Calibri"/>
          <w:b/>
          <w:bCs/>
          <w:sz w:val="21"/>
          <w:szCs w:val="21"/>
        </w:rPr>
        <w:t xml:space="preserve">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Effective 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[BUYER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GSTIN </w:t>
      </w:r>
      <w:r>
        <w:rPr>
          <w:rFonts w:ascii="Calibri" w:cs="Calibri" w:eastAsia="Calibri" w:hAnsi="Calibri"/>
          <w:b/>
          <w:bCs/>
          <w:sz w:val="21"/>
          <w:szCs w:val="21"/>
        </w:rPr>
        <w:t xml:space="preserve">[GSTIN]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Buyer</w:t>
      </w:r>
      <w:r>
        <w:rPr>
          <w:rFonts w:ascii="Calibri" w:cs="Calibri" w:eastAsia="Calibri" w:hAnsi="Calibri"/>
          <w:sz w:val="21"/>
          <w:szCs w:val="21"/>
        </w:rPr>
        <w:t xml:space="preserve">") of the ONE PART;</w:t>
      </w:r>
    </w:p>
    <w:p>
      <w:pPr>
        <w:spacing w:after="100" w:before="0" w:line="276"/>
        <w:jc w:val="both"/>
      </w:pPr>
      <w:r>
        <w:rPr>
          <w:rFonts w:ascii="Calibri" w:cs="Calibri" w:eastAsia="Calibri" w:hAnsi="Calibri"/>
          <w:b/>
          <w:bCs/>
          <w:sz w:val="21"/>
          <w:szCs w:val="21"/>
        </w:rPr>
        <w:t xml:space="preserve">AND</w:t>
      </w:r>
    </w:p>
    <w:p>
      <w:pPr>
        <w:spacing w:after="160" w:before="0" w:line="276"/>
        <w:jc w:val="both"/>
      </w:pPr>
      <w:r>
        <w:rPr>
          <w:rFonts w:ascii="Calibri" w:cs="Calibri" w:eastAsia="Calibri" w:hAnsi="Calibri"/>
          <w:b/>
          <w:bCs/>
          <w:sz w:val="21"/>
          <w:szCs w:val="21"/>
        </w:rPr>
        <w:t xml:space="preserve">[VENDOR NAME]</w:t>
      </w:r>
      <w:r>
        <w:rPr>
          <w:rFonts w:ascii="Calibri" w:cs="Calibri" w:eastAsia="Calibri" w:hAnsi="Calibri"/>
          <w:sz w:val="21"/>
          <w:szCs w:val="21"/>
        </w:rPr>
        <w:t xml:space="preserve">, </w:t>
      </w:r>
      <w:r>
        <w:rPr>
          <w:rFonts w:ascii="Calibri" w:cs="Calibri" w:eastAsia="Calibri" w:hAnsi="Calibri"/>
          <w:b/>
          <w:bCs/>
          <w:sz w:val="21"/>
          <w:szCs w:val="21"/>
        </w:rPr>
        <w:t xml:space="preserve">[CONSTITUTION]</w:t>
      </w:r>
      <w:r>
        <w:rPr>
          <w:rFonts w:ascii="Calibri" w:cs="Calibri" w:eastAsia="Calibri" w:hAnsi="Calibri"/>
          <w:sz w:val="21"/>
          <w:szCs w:val="21"/>
        </w:rPr>
        <w:t xml:space="preserve"> bearing </w:t>
      </w:r>
      <w:r>
        <w:rPr>
          <w:rFonts w:ascii="Calibri" w:cs="Calibri" w:eastAsia="Calibri" w:hAnsi="Calibri"/>
          <w:b/>
          <w:bCs/>
          <w:sz w:val="21"/>
          <w:szCs w:val="21"/>
        </w:rPr>
        <w:t xml:space="preserve">[CIN / LLPIN / FIRM REGISTRATION]</w:t>
      </w:r>
      <w:r>
        <w:rPr>
          <w:rFonts w:ascii="Calibri" w:cs="Calibri" w:eastAsia="Calibri" w:hAnsi="Calibri"/>
          <w:sz w:val="21"/>
          <w:szCs w:val="21"/>
        </w:rPr>
        <w:t xml:space="preserve"> , PAN </w:t>
      </w:r>
      <w:r>
        <w:rPr>
          <w:rFonts w:ascii="Calibri" w:cs="Calibri" w:eastAsia="Calibri" w:hAnsi="Calibri"/>
          <w:b/>
          <w:bCs/>
          <w:sz w:val="21"/>
          <w:szCs w:val="21"/>
        </w:rPr>
        <w:t xml:space="preserve">[PAN]</w:t>
      </w:r>
      <w:r>
        <w:rPr>
          <w:rFonts w:ascii="Calibri" w:cs="Calibri" w:eastAsia="Calibri" w:hAnsi="Calibri"/>
          <w:sz w:val="21"/>
          <w:szCs w:val="21"/>
        </w:rPr>
        <w:t xml:space="preserve"> and GSTIN </w:t>
      </w:r>
      <w:r>
        <w:rPr>
          <w:rFonts w:ascii="Calibri" w:cs="Calibri" w:eastAsia="Calibri" w:hAnsi="Calibri"/>
          <w:b/>
          <w:bCs/>
          <w:sz w:val="21"/>
          <w:szCs w:val="21"/>
        </w:rPr>
        <w:t xml:space="preserve">[GSTIN]</w:t>
      </w:r>
      <w:r>
        <w:rPr>
          <w:rFonts w:ascii="Calibri" w:cs="Calibri" w:eastAsia="Calibri" w:hAnsi="Calibri"/>
          <w:sz w:val="21"/>
          <w:szCs w:val="21"/>
        </w:rPr>
        <w:t xml:space="preserve">, having its registered office / principal place of business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Vendor</w:t>
      </w:r>
      <w:r>
        <w:rPr>
          <w:rFonts w:ascii="Calibri" w:cs="Calibri" w:eastAsia="Calibri" w:hAnsi="Calibri"/>
          <w:sz w:val="21"/>
          <w:szCs w:val="21"/>
        </w:rPr>
        <w:t xml:space="preserve">") of the OTHER PART.</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Vendor is engaged in the business of supplying </w:t>
      </w:r>
      <w:r>
        <w:rPr>
          <w:rFonts w:ascii="Calibri" w:cs="Calibri" w:eastAsia="Calibri" w:hAnsi="Calibri"/>
          <w:b/>
          <w:bCs/>
          <w:sz w:val="21"/>
          <w:szCs w:val="21"/>
        </w:rPr>
        <w:t xml:space="preserve">[DESCRIBE GOODS AND/OR SERVICES]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Buyer wishes to procure such goods and/or services from time to time by issuing purchase orders.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Parties wish to record the standing terms that will govern every such purchase order.</w:t>
      </w:r>
    </w:p>
    <w:p>
      <w:pPr>
        <w:spacing w:after="120" w:before="120" w:line="276"/>
        <w:jc w:val="both"/>
      </w:pPr>
      <w:r>
        <w:rPr>
          <w:rFonts w:ascii="Calibri" w:cs="Calibri" w:eastAsia="Calibri" w:hAnsi="Calibri"/>
          <w:sz w:val="21"/>
          <w:szCs w:val="21"/>
        </w:rPr>
        <w:t xml:space="preserve">NOW THEREFORE the Parties agree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w:t>
      </w:r>
      <w:r>
        <w:rPr>
          <w:rFonts w:ascii="Calibri" w:cs="Calibri" w:eastAsia="Calibri" w:hAnsi="Calibri"/>
          <w:b/>
          <w:bCs/>
          <w:sz w:val="21"/>
          <w:szCs w:val="21"/>
        </w:rPr>
        <w:t xml:space="preserve">Goods</w:t>
      </w:r>
      <w:r>
        <w:rPr>
          <w:rFonts w:ascii="Calibri" w:cs="Calibri" w:eastAsia="Calibri" w:hAnsi="Calibri"/>
          <w:sz w:val="21"/>
          <w:szCs w:val="21"/>
        </w:rPr>
        <w:t xml:space="preserve">" means the goods described in a Purchase Order; "</w:t>
      </w:r>
      <w:r>
        <w:rPr>
          <w:rFonts w:ascii="Calibri" w:cs="Calibri" w:eastAsia="Calibri" w:hAnsi="Calibri"/>
          <w:b/>
          <w:bCs/>
          <w:sz w:val="21"/>
          <w:szCs w:val="21"/>
        </w:rPr>
        <w:t xml:space="preserve">Services</w:t>
      </w:r>
      <w:r>
        <w:rPr>
          <w:rFonts w:ascii="Calibri" w:cs="Calibri" w:eastAsia="Calibri" w:hAnsi="Calibri"/>
          <w:sz w:val="21"/>
          <w:szCs w:val="21"/>
        </w:rPr>
        <w:t xml:space="preserve">" means the services described in a Purchase Order; and "</w:t>
      </w:r>
      <w:r>
        <w:rPr>
          <w:rFonts w:ascii="Calibri" w:cs="Calibri" w:eastAsia="Calibri" w:hAnsi="Calibri"/>
          <w:b/>
          <w:bCs/>
          <w:sz w:val="21"/>
          <w:szCs w:val="21"/>
        </w:rPr>
        <w:t xml:space="preserve">Supplies</w:t>
      </w:r>
      <w:r>
        <w:rPr>
          <w:rFonts w:ascii="Calibri" w:cs="Calibri" w:eastAsia="Calibri" w:hAnsi="Calibri"/>
          <w:sz w:val="21"/>
          <w:szCs w:val="21"/>
        </w:rPr>
        <w:t xml:space="preserve">" means Goods and Services together.</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t>
      </w:r>
      <w:r>
        <w:rPr>
          <w:rFonts w:ascii="Calibri" w:cs="Calibri" w:eastAsia="Calibri" w:hAnsi="Calibri"/>
          <w:b/>
          <w:bCs/>
          <w:sz w:val="21"/>
          <w:szCs w:val="21"/>
        </w:rPr>
        <w:t xml:space="preserve">Purchase Order</w:t>
      </w:r>
      <w:r>
        <w:rPr>
          <w:rFonts w:ascii="Calibri" w:cs="Calibri" w:eastAsia="Calibri" w:hAnsi="Calibri"/>
          <w:sz w:val="21"/>
          <w:szCs w:val="21"/>
        </w:rPr>
        <w:t xml:space="preserve">" or "</w:t>
      </w:r>
      <w:r>
        <w:rPr>
          <w:rFonts w:ascii="Calibri" w:cs="Calibri" w:eastAsia="Calibri" w:hAnsi="Calibri"/>
          <w:b/>
          <w:bCs/>
          <w:sz w:val="21"/>
          <w:szCs w:val="21"/>
        </w:rPr>
        <w:t xml:space="preserve">PO</w:t>
      </w:r>
      <w:r>
        <w:rPr>
          <w:rFonts w:ascii="Calibri" w:cs="Calibri" w:eastAsia="Calibri" w:hAnsi="Calibri"/>
          <w:sz w:val="21"/>
          <w:szCs w:val="21"/>
        </w:rPr>
        <w:t xml:space="preserve">" means a written order issued by the Buyer, in the form of Schedule 3 or through the Buyer’s procurement system, specifying the Supplies required.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t>
      </w:r>
      <w:r>
        <w:rPr>
          <w:rFonts w:ascii="Calibri" w:cs="Calibri" w:eastAsia="Calibri" w:hAnsi="Calibri"/>
          <w:b/>
          <w:bCs/>
          <w:sz w:val="21"/>
          <w:szCs w:val="21"/>
        </w:rPr>
        <w:t xml:space="preserve">Specifications</w:t>
      </w:r>
      <w:r>
        <w:rPr>
          <w:rFonts w:ascii="Calibri" w:cs="Calibri" w:eastAsia="Calibri" w:hAnsi="Calibri"/>
          <w:sz w:val="21"/>
          <w:szCs w:val="21"/>
        </w:rPr>
        <w:t xml:space="preserve">" means the technical, quality, packaging and performance requirements set out in Schedule 1, the applicable PO, or any drawing, sample or standard referred to in either.</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w:t>
      </w:r>
      <w:r>
        <w:rPr>
          <w:rFonts w:ascii="Calibri" w:cs="Calibri" w:eastAsia="Calibri" w:hAnsi="Calibri"/>
          <w:b/>
          <w:bCs/>
          <w:sz w:val="21"/>
          <w:szCs w:val="21"/>
        </w:rPr>
        <w:t xml:space="preserve">Delivery Point</w:t>
      </w:r>
      <w:r>
        <w:rPr>
          <w:rFonts w:ascii="Calibri" w:cs="Calibri" w:eastAsia="Calibri" w:hAnsi="Calibri"/>
          <w:sz w:val="21"/>
          <w:szCs w:val="21"/>
        </w:rPr>
        <w:t xml:space="preserve">" means the location specified in the PO for delivery of the Goods or performance of the Services.</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w:t>
      </w:r>
      <w:r>
        <w:rPr>
          <w:rFonts w:ascii="Calibri" w:cs="Calibri" w:eastAsia="Calibri" w:hAnsi="Calibri"/>
          <w:b/>
          <w:bCs/>
          <w:sz w:val="21"/>
          <w:szCs w:val="21"/>
        </w:rPr>
        <w:t xml:space="preserve">Business Day</w:t>
      </w:r>
      <w:r>
        <w:rPr>
          <w:rFonts w:ascii="Calibri" w:cs="Calibri" w:eastAsia="Calibri" w:hAnsi="Calibri"/>
          <w:sz w:val="21"/>
          <w:szCs w:val="21"/>
        </w:rPr>
        <w:t xml:space="preserve">" means a day other than a Saturday, Sunday or public holiday on which banks are open in </w:t>
      </w:r>
      <w:r>
        <w:rPr>
          <w:rFonts w:ascii="Calibri" w:cs="Calibri" w:eastAsia="Calibri" w:hAnsi="Calibri"/>
          <w:b/>
          <w:bCs/>
          <w:sz w:val="21"/>
          <w:szCs w:val="21"/>
        </w:rPr>
        <w:t xml:space="preserve">[CITY]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FRAMEWORK AND PURCHASE ORDERS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This Agreement sets out the terms on which the Vendor will supply, but does not itself commit the Buyer to purchase any quantity or value. The Buyer is under no obligation of exclusivity and may procure the same or similar Supplies from any other source.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Each PO accepted by the Vendor forms a separate contract incorporating this Agreement. The Vendor shall accept or reject a PO in writing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a PO not rejected within that period, or against which the Vendor commences performance, is deemed accepted.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In the event of conflict, this Agreement prevails over the PO except as to quantity, price, Specifications and delivery date, which are governed by the PO. Any printed or standard terms of the Vendor, whether on a quotation, acknowledgement, invoice, delivery note or website, are expressly excluded and have no effect.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Buyer may cancel or vary a PO by written notice before despatch of the Goods or commencement of the Services, subject to payment of the Vendor’s reasonable costs actually and unavoidably incurred, evidenced in writing.</w:t>
      </w:r>
    </w:p>
    <w:p>
      <w:pPr>
        <w:keepNext/>
        <w:spacing w:after="120" w:before="280"/>
        <w:outlineLvl w:val="0"/>
      </w:pPr>
      <w:r>
        <w:rPr>
          <w:rFonts w:ascii="Calibri" w:cs="Calibri" w:eastAsia="Calibri" w:hAnsi="Calibri"/>
          <w:b/>
          <w:bCs/>
          <w:color w:val="14161B"/>
          <w:sz w:val="22"/>
          <w:szCs w:val="22"/>
        </w:rPr>
        <w:t xml:space="preserve">3. SPECIFICATIONS AND QUALITY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Vendor shall supply Goods that conform strictly to the Specifications, are of satisfactory quality and fit for the purpose made known to the Vendor, are free from defects in design, material and workmanship, are new and unused unless otherwise stated, and comply with all applicable law and standards.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Vendor shall supply Services with reasonable skill and care, using suitably qualified personnel, and in accordance with good industry practice and the Specifications.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Vendor shall not vary the Specifications, the source of materials, the manufacturing location or any approved sub-supplier without the Buyer’s prior written consent.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Vendor shall maintain a documented quality management system, shall retain batch and traceability records for </w:t>
      </w:r>
      <w:r>
        <w:rPr>
          <w:rFonts w:ascii="Calibri" w:cs="Calibri" w:eastAsia="Calibri" w:hAnsi="Calibri"/>
          <w:b/>
          <w:bCs/>
          <w:sz w:val="21"/>
          <w:szCs w:val="21"/>
        </w:rPr>
        <w:t xml:space="preserve">[NUMBER]</w:t>
      </w:r>
      <w:r>
        <w:rPr>
          <w:rFonts w:ascii="Calibri" w:cs="Calibri" w:eastAsia="Calibri" w:hAnsi="Calibri"/>
          <w:sz w:val="21"/>
          <w:szCs w:val="21"/>
        </w:rPr>
        <w:t xml:space="preserve"> years, and shall provide certificates of analysis, test reports or conformity certificates with each consignment where required by the PO.</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Packaging and labelling shall comply with the Specifications and with applicable law, including the Legal Metrology Act, 2009 and the Legal Metrology (Packaged Commodities) Rules, 2011 where the Goods are pre-packaged commodities.</w:t>
      </w:r>
    </w:p>
    <w:p>
      <w:pPr>
        <w:keepNext/>
        <w:spacing w:after="120" w:before="280"/>
        <w:outlineLvl w:val="0"/>
      </w:pPr>
      <w:r>
        <w:rPr>
          <w:rFonts w:ascii="Calibri" w:cs="Calibri" w:eastAsia="Calibri" w:hAnsi="Calibri"/>
          <w:b/>
          <w:bCs/>
          <w:color w:val="14161B"/>
          <w:sz w:val="22"/>
          <w:szCs w:val="22"/>
        </w:rPr>
        <w:t xml:space="preserve">4. DELIVERY, TITLE AND RISK</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Vendor shall deliver the Goods to the Delivery Point on the date and during the hours specified in the PO. Time of delivery is of the essence.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Delivery shall be accompanied by a delivery challan, packing list, invoice and, where applicable, an e-way bill generated in accordance with the goods and services tax legislation. Consignments not so accompanied may be refused.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Unless the PO states otherwise, delivery terms are </w:t>
      </w:r>
      <w:r>
        <w:rPr>
          <w:rFonts w:ascii="Calibri" w:cs="Calibri" w:eastAsia="Calibri" w:hAnsi="Calibri"/>
          <w:b/>
          <w:bCs/>
          <w:sz w:val="21"/>
          <w:szCs w:val="21"/>
        </w:rPr>
        <w:t xml:space="preserve">[DELIVERY TERMS — e.g. delivered duty paid at the Delivery Point]</w:t>
      </w:r>
      <w:r>
        <w:rPr>
          <w:rFonts w:ascii="Calibri" w:cs="Calibri" w:eastAsia="Calibri" w:hAnsi="Calibri"/>
          <w:sz w:val="21"/>
          <w:szCs w:val="21"/>
        </w:rPr>
        <w:t xml:space="preserve"> and the Vendor bears all freight, insurance, loading, unloading and incidental charges to the Delivery Point.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Title to the Goods passes to the Buyer on the later of delivery at the Delivery Point and payment; risk passes on acceptance under Clause 5. Where the Buyer makes an advance payment, title in Goods and in materials appropriated to the Buyer’s order passes on payment, and the Vendor shall hold them as bailee, separately identified and insured.</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Vendor shall notify the Buyer in writing as soon as it becomes aware that it may fail to deliver on time, with reasons and a revised date. Such notice does not relieve the Vendor of liability.</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If the Vendor fails to deliver by the due date, the Buyer may, without prejudice to its other rights: (a) recover liquidated damages at </w:t>
      </w:r>
      <w:r>
        <w:rPr>
          <w:rFonts w:ascii="Calibri" w:cs="Calibri" w:eastAsia="Calibri" w:hAnsi="Calibri"/>
          <w:b/>
          <w:bCs/>
          <w:sz w:val="21"/>
          <w:szCs w:val="21"/>
        </w:rPr>
        <w:t xml:space="preserve">[RATE — e.g. 0.5]</w:t>
      </w:r>
      <w:r>
        <w:rPr>
          <w:rFonts w:ascii="Calibri" w:cs="Calibri" w:eastAsia="Calibri" w:hAnsi="Calibri"/>
          <w:sz w:val="21"/>
          <w:szCs w:val="21"/>
        </w:rPr>
        <w:t xml:space="preserve"> per cent of the value of the delayed Supplies per week of delay, subject to an aggregate cap of </w:t>
      </w:r>
      <w:r>
        <w:rPr>
          <w:rFonts w:ascii="Calibri" w:cs="Calibri" w:eastAsia="Calibri" w:hAnsi="Calibri"/>
          <w:b/>
          <w:bCs/>
          <w:sz w:val="21"/>
          <w:szCs w:val="21"/>
        </w:rPr>
        <w:t xml:space="preserve">[CAP — e.g. 10]</w:t>
      </w:r>
      <w:r>
        <w:rPr>
          <w:rFonts w:ascii="Calibri" w:cs="Calibri" w:eastAsia="Calibri" w:hAnsi="Calibri"/>
          <w:sz w:val="21"/>
          <w:szCs w:val="21"/>
        </w:rPr>
        <w:t xml:space="preserve"> per cent of the PO value; (b) cancel the PO in whole or part; and (c) procure substitute supplies and recover the excess cost from the Vendor. </w:t>
      </w:r>
      <w:r>
        <w:rPr>
          <w:rFonts w:ascii="Calibri" w:cs="Calibri" w:eastAsia="Calibri" w:hAnsi="Calibri"/>
          <w:i/>
          <w:iCs/>
          <w:color w:val="6E7480"/>
          <w:sz w:val="21"/>
          <w:szCs w:val="21"/>
        </w:rPr>
        <w:t xml:space="preserve">The liquidated damages rate and cap are commercial decisions — specify.</w:t>
      </w:r>
    </w:p>
    <w:p>
      <w:pPr>
        <w:spacing w:after="120" w:before="60" w:line="276"/>
        <w:ind w:left="720" w:hanging="720"/>
        <w:jc w:val="both"/>
      </w:pPr>
      <w:r>
        <w:rPr>
          <w:rFonts w:ascii="Calibri" w:cs="Calibri" w:eastAsia="Calibri" w:hAnsi="Calibri"/>
          <w:sz w:val="21"/>
          <w:szCs w:val="21"/>
        </w:rPr>
        <w:t xml:space="preserve">4.7	</w:t>
      </w:r>
      <w:r>
        <w:rPr>
          <w:rFonts w:ascii="Calibri" w:cs="Calibri" w:eastAsia="Calibri" w:hAnsi="Calibri"/>
          <w:sz w:val="21"/>
          <w:szCs w:val="21"/>
        </w:rPr>
        <w:t xml:space="preserve">The Buyer is not obliged to accept over-delivery, short delivery or early delivery, and may return excess quantities at the Vendor’s cost and risk.</w:t>
      </w:r>
    </w:p>
    <w:p>
      <w:pPr>
        <w:keepNext/>
        <w:spacing w:after="120" w:before="280"/>
        <w:outlineLvl w:val="0"/>
      </w:pPr>
      <w:r>
        <w:rPr>
          <w:rFonts w:ascii="Calibri" w:cs="Calibri" w:eastAsia="Calibri" w:hAnsi="Calibri"/>
          <w:b/>
          <w:bCs/>
          <w:color w:val="14161B"/>
          <w:sz w:val="22"/>
          <w:szCs w:val="22"/>
        </w:rPr>
        <w:t xml:space="preserve">5. INSPECTION, ACCEPTANCE AND REJECTION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Buyer may inspect and test the Supplies at any time before, during or after delivery. Inspection, testing or payment does not constitute acceptance and does not relieve the Vendor of any obligation.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Buyer shall inspect Goods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delivery and may reject any Goods that do not conform to the Specifications, giving written notice of the grounds of rejection.</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On rejection the Buyer may, at its option, require the Vendor at the Vendor’s cost to (a) replace the rejected Goods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(b) repair them, or (c) refund the price paid together with the cost of return, storage and handling. Rejected Goods shall be collected by the Vendor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failing which the Buyer may dispose of them at the Vendor’s cost.</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Latent defects may be notified at any time within the warranty period in Clause 8, notwithstanding earlier acceptance.</w:t>
      </w:r>
    </w:p>
    <w:p>
      <w:pPr>
        <w:keepNext/>
        <w:spacing w:after="120" w:before="280"/>
        <w:outlineLvl w:val="0"/>
      </w:pPr>
      <w:r>
        <w:rPr>
          <w:rFonts w:ascii="Calibri" w:cs="Calibri" w:eastAsia="Calibri" w:hAnsi="Calibri"/>
          <w:b/>
          <w:bCs/>
          <w:color w:val="14161B"/>
          <w:sz w:val="22"/>
          <w:szCs w:val="22"/>
        </w:rPr>
        <w:t xml:space="preserve">6. PRICE AND PAYMENT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price for the Supplies is as stated in the PO and, unless expressly stated otherwise, is fixed for the duration of the PO, inclusive of packing, freight, insurance and delivery to the Delivery Point, and exclusive only of goods and services tax.</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Vendor shall raise a tax invoice containing all particulars required by Rule 46 of the Central Goods and Services Tax Rules, 2017, quoting the PO number, and where e-invoicing applies to it, bearing a valid Invoice Reference Number and QR code. Invoices not conforming may be returned and the payment clock restarts on receipt of a corrected invoice.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Buyer shall pay each correct and undisputed invoice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receipt, or within the period prescribed by Section 15 of the Micro, Small and Medium Enterprises Development Act, 2006 where the Vendor is a registered micro or small enterprise, whichever is earlier.</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Vendor shall state on this Agreement and on every invoice whether it is a micro, small or medium enterprise registered under the MSMED Act, 2006, together with its Udyam registration number, and shall notify the Buyer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any change in that status.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Buyer shall deduct tax at source at the rate in force under Section 393 of the Income-tax Act, 2025, and shall collect tax at source under Section 394 of that Act where applicable, and shall issue the prescribed certificate.</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The Vendor shall: (a) accurately report each invoice in its outward supply return within the prescribed time; (b) discharge the corresponding output tax; and (c) not amend or cancel an invoice already reported without notifying the Buyer. If the Buyer is denied, or is required to reverse, input tax credit by reason of the Vendor’s failure to comply, the Vendor shall reimburse the Buyer the credit denied together with interest and penalty levied on the Buyer, and the Buyer may withhold or set off an equivalent amount from any sum payable to the Vendor.</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The Buyer may withhold payment of any disputed amount notified in writing before the due date, provided it pays the undisputed balance.</w:t>
      </w:r>
    </w:p>
    <w:p>
      <w:pPr>
        <w:spacing w:after="120" w:before="60" w:line="276"/>
        <w:ind w:left="720" w:hanging="720"/>
        <w:jc w:val="both"/>
      </w:pPr>
      <w:r>
        <w:rPr>
          <w:rFonts w:ascii="Calibri" w:cs="Calibri" w:eastAsia="Calibri" w:hAnsi="Calibri"/>
          <w:sz w:val="21"/>
          <w:szCs w:val="21"/>
        </w:rPr>
        <w:t xml:space="preserve">6.8	</w:t>
      </w:r>
      <w:r>
        <w:rPr>
          <w:rFonts w:ascii="Calibri" w:cs="Calibri" w:eastAsia="Calibri" w:hAnsi="Calibri"/>
          <w:sz w:val="21"/>
          <w:szCs w:val="21"/>
        </w:rPr>
        <w:t xml:space="preserve">No price increase takes effect unless agreed in writing at least </w:t>
      </w:r>
      <w:r>
        <w:rPr>
          <w:rFonts w:ascii="Calibri" w:cs="Calibri" w:eastAsia="Calibri" w:hAnsi="Calibri"/>
          <w:b/>
          <w:bCs/>
          <w:sz w:val="21"/>
          <w:szCs w:val="21"/>
        </w:rPr>
        <w:t xml:space="preserve">[NUMBER]</w:t>
      </w:r>
      <w:r>
        <w:rPr>
          <w:rFonts w:ascii="Calibri" w:cs="Calibri" w:eastAsia="Calibri" w:hAnsi="Calibri"/>
          <w:sz w:val="21"/>
          <w:szCs w:val="21"/>
        </w:rPr>
        <w:t xml:space="preserve"> days in advance and reflected in a subsequent PO.</w:t>
      </w:r>
    </w:p>
    <w:p>
      <w:pPr>
        <w:keepNext/>
        <w:spacing w:after="120" w:before="280"/>
        <w:outlineLvl w:val="0"/>
      </w:pPr>
      <w:r>
        <w:rPr>
          <w:rFonts w:ascii="Calibri" w:cs="Calibri" w:eastAsia="Calibri" w:hAnsi="Calibri"/>
          <w:b/>
          <w:bCs/>
          <w:color w:val="14161B"/>
          <w:sz w:val="22"/>
          <w:szCs w:val="22"/>
        </w:rPr>
        <w:t xml:space="preserve">7. COMPLIANCE WITH LAW</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Vendor shall comply, and shall procure that its personnel and sub-suppliers comply, with all applicable law, including labour, environmental, factories, safety, tax, anti-bribery, data protection and sanctions law.</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Vendor shall comply with the Code on Wages, 2019, the Industrial Relations Code, 2020, the Code on Social Security, 2020 and the Occupational Safety, Health and Working Conditions Code, 2020 together with the rules made under them, and shall pay all wages and statutory contributions in respect of its personnel when due. Where personnel are deployed at the Buyer’s premises, the Vendor shall hold any contractor licence or registration required and shall produce, with each invoice, evidence of payment of wages, provident fund and employees’ state insurance contributions for the preceding month.</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Vendor shall not employ any person below the minimum age permitted by law, shall not use forced or bonded labour, and shall maintain a workplace free from discrimination and harassment, including compliance with the Sexual Harassment of Women at Workplace (Prevention, Prohibition and Redressal) Act, 2013 where applicable to it.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Vendor shall comply with the Buyer’s supplier code of conduct at Schedule 4, as amended on reasonable notice.</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The Vendor shall not, directly or indirectly, offer or give any undue advantage to any person to obtain or retain business, and shall comply with the Prevention of Corruption Act, 1988.</w:t>
      </w:r>
    </w:p>
    <w:p>
      <w:pPr>
        <w:keepNext/>
        <w:spacing w:after="120" w:before="280"/>
        <w:outlineLvl w:val="0"/>
      </w:pPr>
      <w:r>
        <w:rPr>
          <w:rFonts w:ascii="Calibri" w:cs="Calibri" w:eastAsia="Calibri" w:hAnsi="Calibri"/>
          <w:b/>
          <w:bCs/>
          <w:color w:val="14161B"/>
          <w:sz w:val="22"/>
          <w:szCs w:val="22"/>
        </w:rPr>
        <w:t xml:space="preserve">8. WARRANTIES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Vendor warrants that: (a) it has good title to the Goods, free from any charge or encumbrance, and the right to transfer that title; (b) the Goods correspond with their description and any sample, are of satisfactory quality and fit for purpose, consistent with Sections 14 to 17 of the Sale of Goods Act, 1930; (c) the Supplies do not infringe any third-party intellectual property right; (d) it holds all licences and registrations required to make the Supplies; and (e) it has disclosed any conflict of interest and any relationship with an employee or director of the Buyer.</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Vendor warrants the Goods against defects in material, workmanship and design for </w:t>
      </w:r>
      <w:r>
        <w:rPr>
          <w:rFonts w:ascii="Calibri" w:cs="Calibri" w:eastAsia="Calibri" w:hAnsi="Calibri"/>
          <w:b/>
          <w:bCs/>
          <w:sz w:val="21"/>
          <w:szCs w:val="21"/>
        </w:rPr>
        <w:t xml:space="preserve">[WARRANTY PERIOD — e.g. twelve (12) months]</w:t>
      </w:r>
      <w:r>
        <w:rPr>
          <w:rFonts w:ascii="Calibri" w:cs="Calibri" w:eastAsia="Calibri" w:hAnsi="Calibri"/>
          <w:sz w:val="21"/>
          <w:szCs w:val="21"/>
        </w:rPr>
        <w:t xml:space="preserve"> from acceptance or </w:t>
      </w:r>
      <w:r>
        <w:rPr>
          <w:rFonts w:ascii="Calibri" w:cs="Calibri" w:eastAsia="Calibri" w:hAnsi="Calibri"/>
          <w:b/>
          <w:bCs/>
          <w:sz w:val="21"/>
          <w:szCs w:val="21"/>
        </w:rPr>
        <w:t xml:space="preserve">[PERIOD]</w:t>
      </w:r>
      <w:r>
        <w:rPr>
          <w:rFonts w:ascii="Calibri" w:cs="Calibri" w:eastAsia="Calibri" w:hAnsi="Calibri"/>
          <w:sz w:val="21"/>
          <w:szCs w:val="21"/>
        </w:rPr>
        <w:t xml:space="preserve"> from commissioning, whichever is later. During that period the Vendor shall repair or replace defective Goods at its own cost, including the cost of removal, transport and reinstallation,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notice.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Repaired or replaced Goods carry a fresh warranty for the unexpired balance of the original warranty or </w:t>
      </w:r>
      <w:r>
        <w:rPr>
          <w:rFonts w:ascii="Calibri" w:cs="Calibri" w:eastAsia="Calibri" w:hAnsi="Calibri"/>
          <w:b/>
          <w:bCs/>
          <w:sz w:val="21"/>
          <w:szCs w:val="21"/>
        </w:rPr>
        <w:t xml:space="preserve">[NUMBER]</w:t>
      </w:r>
      <w:r>
        <w:rPr>
          <w:rFonts w:ascii="Calibri" w:cs="Calibri" w:eastAsia="Calibri" w:hAnsi="Calibri"/>
          <w:sz w:val="21"/>
          <w:szCs w:val="21"/>
        </w:rPr>
        <w:t xml:space="preserve"> months from repair or replacement, whichever is longer.</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Vendor shall maintain the availability of spares and support for </w:t>
      </w:r>
      <w:r>
        <w:rPr>
          <w:rFonts w:ascii="Calibri" w:cs="Calibri" w:eastAsia="Calibri" w:hAnsi="Calibri"/>
          <w:b/>
          <w:bCs/>
          <w:sz w:val="21"/>
          <w:szCs w:val="21"/>
        </w:rPr>
        <w:t xml:space="preserve">[NUMBER]</w:t>
      </w:r>
      <w:r>
        <w:rPr>
          <w:rFonts w:ascii="Calibri" w:cs="Calibri" w:eastAsia="Calibri" w:hAnsi="Calibri"/>
          <w:sz w:val="21"/>
          <w:szCs w:val="21"/>
        </w:rPr>
        <w:t xml:space="preserve"> years from the last delivery, on commercially reasonable terms.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These warranties are in addition to, and not in substitution for, the conditions and warranties implied by law.</w:t>
      </w:r>
    </w:p>
    <w:p>
      <w:pPr>
        <w:keepNext/>
        <w:spacing w:after="120" w:before="280"/>
        <w:outlineLvl w:val="0"/>
      </w:pPr>
      <w:r>
        <w:rPr>
          <w:rFonts w:ascii="Calibri" w:cs="Calibri" w:eastAsia="Calibri" w:hAnsi="Calibri"/>
          <w:b/>
          <w:bCs/>
          <w:color w:val="14161B"/>
          <w:sz w:val="22"/>
          <w:szCs w:val="22"/>
        </w:rPr>
        <w:t xml:space="preserve">9. INTELLECTUAL PROPERTY</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Where the Vendor creates any item, design, drawing, tooling, software or documentation specifically for the Buyer under a PO, all intellectual property rights in it vest in the Buyer on creation, and the Vendor assigns such rights to the Buyer with effect from creation, in writing and signed for the purposes of Section 19 of the Copyright Act, 1957.</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Tooling, moulds, jigs, fixtures and dies paid for by the Buyer are the Buyer’s property, shall be marked as such, shall be insured and maintained by the Vendor at its cost, shall be used only for the Buyer’s orders, and shall be delivered up on demand.</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Vendor grants the Buyer a non-exclusive, perpetual, irrevocable, royalty-free licence to use the Vendor’s background intellectual property to the extent necessary to use, maintain, repair and resell the Supplies.</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The Vendor shall not use the Buyer’s name, trade marks or logo, or refer to the Buyer as a customer, without the Buyer’s prior written consent.</w:t>
      </w:r>
    </w:p>
    <w:p>
      <w:pPr>
        <w:keepNext/>
        <w:spacing w:after="120" w:before="280"/>
        <w:outlineLvl w:val="0"/>
      </w:pPr>
      <w:r>
        <w:rPr>
          <w:rFonts w:ascii="Calibri" w:cs="Calibri" w:eastAsia="Calibri" w:hAnsi="Calibri"/>
          <w:b/>
          <w:bCs/>
          <w:color w:val="14161B"/>
          <w:sz w:val="22"/>
          <w:szCs w:val="22"/>
        </w:rPr>
        <w:t xml:space="preserve">10. CONFIDENTIALITY AND DATA PROTECTION</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Vendor shall keep confidential all information of the Buyer disclosed or observed in connection with this Agreement, shall use it only to perform its obligations, and shall not disclose it except to personnel who need to know and are bound by equivalent obligations. This obligation survives for </w:t>
      </w:r>
      <w:r>
        <w:rPr>
          <w:rFonts w:ascii="Calibri" w:cs="Calibri" w:eastAsia="Calibri" w:hAnsi="Calibri"/>
          <w:b/>
          <w:bCs/>
          <w:sz w:val="21"/>
          <w:szCs w:val="21"/>
        </w:rPr>
        <w:t xml:space="preserve">[NUMBER]</w:t>
      </w:r>
      <w:r>
        <w:rPr>
          <w:rFonts w:ascii="Calibri" w:cs="Calibri" w:eastAsia="Calibri" w:hAnsi="Calibri"/>
          <w:sz w:val="21"/>
          <w:szCs w:val="21"/>
        </w:rPr>
        <w:t xml:space="preserve"> years after termination.</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Where the Vendor processes personal data on behalf of the Buyer, the Buyer is the Data Fiduciary and the Vendor the Data Processor under the Digital Personal Data Protection Act, 2023. The Vendor shall process only on the Buyer’s documented instructions, apply reasonable security safeguards, engage no sub-processor without prior written authorisation, assist the Buyer with Data Principal requests, and intimate the Buyer of any personal data breach within twenty-four (24) hours of becoming aware of it. Where processing is material in volume or sensitivity, the Parties shall execute a data processing agreement as required by Section 8(2) of that Act.</w:t>
      </w:r>
    </w:p>
    <w:p>
      <w:pPr>
        <w:keepNext/>
        <w:spacing w:after="120" w:before="280"/>
        <w:outlineLvl w:val="0"/>
      </w:pPr>
      <w:r>
        <w:rPr>
          <w:rFonts w:ascii="Calibri" w:cs="Calibri" w:eastAsia="Calibri" w:hAnsi="Calibri"/>
          <w:b/>
          <w:bCs/>
          <w:color w:val="14161B"/>
          <w:sz w:val="22"/>
          <w:szCs w:val="22"/>
        </w:rPr>
        <w:t xml:space="preserve">11. INDEMNITY, INSURANCE AND LIABILITY</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Vendor shall indemnify, defend and hold harmless the Buyer, its Affiliates and their officers, directors and employees against all losses, damages, liabilities, claims, costs and expenses (including reasonable legal fees) arising from: (a) any defect in the Supplies or their failure to conform to the Specifications; (b) any claim of infringement of third-party intellectual property; (c) death, personal injury or property damage caused by the Supplies or by the Vendor’s personnel; (d) any claim by the Vendor’s personnel or any authority relating to wages, statutory dues or conditions of employment; (e) breach of Clause 7, 10 or 12; and (f) any product recall attributable to the Supplies, including the cost of the recall.</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Vendor shall maintain, at its cost, commercial general liability insurance of not less than </w:t>
      </w:r>
      <w:r>
        <w:rPr>
          <w:rFonts w:ascii="Calibri" w:cs="Calibri" w:eastAsia="Calibri" w:hAnsi="Calibri"/>
          <w:b/>
          <w:bCs/>
          <w:sz w:val="21"/>
          <w:szCs w:val="21"/>
        </w:rPr>
        <w:t xml:space="preserve">[AMOUNT]</w:t>
      </w:r>
      <w:r>
        <w:rPr>
          <w:rFonts w:ascii="Calibri" w:cs="Calibri" w:eastAsia="Calibri" w:hAnsi="Calibri"/>
          <w:sz w:val="21"/>
          <w:szCs w:val="21"/>
        </w:rPr>
        <w:t xml:space="preserve">, product liability insurance of not less than </w:t>
      </w:r>
      <w:r>
        <w:rPr>
          <w:rFonts w:ascii="Calibri" w:cs="Calibri" w:eastAsia="Calibri" w:hAnsi="Calibri"/>
          <w:b/>
          <w:bCs/>
          <w:sz w:val="21"/>
          <w:szCs w:val="21"/>
        </w:rPr>
        <w:t xml:space="preserve">[AMOUNT]</w:t>
      </w:r>
      <w:r>
        <w:rPr>
          <w:rFonts w:ascii="Calibri" w:cs="Calibri" w:eastAsia="Calibri" w:hAnsi="Calibri"/>
          <w:sz w:val="21"/>
          <w:szCs w:val="21"/>
        </w:rPr>
        <w:t xml:space="preserve">, transit insurance covering the Goods to the Delivery Point, employees’ compensation insurance as required by law and, where personal data is processed, cyber liability insurance of not less than </w:t>
      </w:r>
      <w:r>
        <w:rPr>
          <w:rFonts w:ascii="Calibri" w:cs="Calibri" w:eastAsia="Calibri" w:hAnsi="Calibri"/>
          <w:b/>
          <w:bCs/>
          <w:sz w:val="21"/>
          <w:szCs w:val="21"/>
        </w:rPr>
        <w:t xml:space="preserve">[AMOUNT]</w:t>
      </w:r>
      <w:r>
        <w:rPr>
          <w:rFonts w:ascii="Calibri" w:cs="Calibri" w:eastAsia="Calibri" w:hAnsi="Calibri"/>
          <w:sz w:val="21"/>
          <w:szCs w:val="21"/>
        </w:rPr>
        <w:t xml:space="preserve">. Certificates shall be provided on request.</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Neither Party is liable for indirect or consequential loss. The Vendor’s liability under Clause 11.1 and for breach of Clauses 7, 8, 9 and 10 is not subject to any cap. In all other respects, each Party’s aggregate liability under a PO is limited to </w:t>
      </w:r>
      <w:r>
        <w:rPr>
          <w:rFonts w:ascii="Calibri" w:cs="Calibri" w:eastAsia="Calibri" w:hAnsi="Calibri"/>
          <w:b/>
          <w:bCs/>
          <w:sz w:val="21"/>
          <w:szCs w:val="21"/>
        </w:rPr>
        <w:t xml:space="preserve">[CAP — e.g. the value of that PO]</w:t>
      </w:r>
      <w:r>
        <w:rPr>
          <w:rFonts w:ascii="Calibri" w:cs="Calibri" w:eastAsia="Calibri" w:hAnsi="Calibri"/>
          <w:sz w:val="21"/>
          <w:szCs w:val="21"/>
        </w:rPr>
        <w:t xml:space="preserve">. </w:t>
      </w:r>
      <w:r>
        <w:rPr>
          <w:rFonts w:ascii="Calibri" w:cs="Calibri" w:eastAsia="Calibri" w:hAnsi="Calibri"/>
          <w:i/>
          <w:iCs/>
          <w:color w:val="6E7480"/>
          <w:sz w:val="21"/>
          <w:szCs w:val="21"/>
        </w:rPr>
        <w:t xml:space="preserve">The cap and its carve-outs are commercial decisions — specify.</w:t>
      </w:r>
    </w:p>
    <w:p>
      <w:pPr>
        <w:spacing w:after="120" w:before="60" w:line="276"/>
        <w:ind w:left="720" w:hanging="720"/>
        <w:jc w:val="both"/>
      </w:pPr>
      <w:r>
        <w:rPr>
          <w:rFonts w:ascii="Calibri" w:cs="Calibri" w:eastAsia="Calibri" w:hAnsi="Calibri"/>
          <w:sz w:val="21"/>
          <w:szCs w:val="21"/>
        </w:rPr>
        <w:t xml:space="preserve">11.4	</w:t>
      </w:r>
      <w:r>
        <w:rPr>
          <w:rFonts w:ascii="Calibri" w:cs="Calibri" w:eastAsia="Calibri" w:hAnsi="Calibri"/>
          <w:sz w:val="21"/>
          <w:szCs w:val="21"/>
        </w:rPr>
        <w:t xml:space="preserve">Nothing limits liability for death or personal injury caused by negligence, for fraud, or for any liability that cannot lawfully be limited.</w:t>
      </w:r>
    </w:p>
    <w:p>
      <w:pPr>
        <w:keepNext/>
        <w:spacing w:after="120" w:before="280"/>
        <w:outlineLvl w:val="0"/>
      </w:pPr>
      <w:r>
        <w:rPr>
          <w:rFonts w:ascii="Calibri" w:cs="Calibri" w:eastAsia="Calibri" w:hAnsi="Calibri"/>
          <w:b/>
          <w:bCs/>
          <w:color w:val="14161B"/>
          <w:sz w:val="22"/>
          <w:szCs w:val="22"/>
        </w:rPr>
        <w:t xml:space="preserve">12. AUDIT AND INSPECTION</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The Buyer and its representatives may, on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notice during business hours, inspect the Vendor’s premises, manufacturing processes, quality records, statutory registers and books relating to the Supplies, and may audit compliance with Clauses 6, 7 and 10. The Vendor shall provide reasonable cooperation and access, and shall procure equivalent rights in respect of its sub-suppliers.</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The Vendor shall retain records relating to each PO for </w:t>
      </w:r>
      <w:r>
        <w:rPr>
          <w:rFonts w:ascii="Calibri" w:cs="Calibri" w:eastAsia="Calibri" w:hAnsi="Calibri"/>
          <w:b/>
          <w:bCs/>
          <w:sz w:val="21"/>
          <w:szCs w:val="21"/>
        </w:rPr>
        <w:t xml:space="preserve">[NUMBER]</w:t>
      </w:r>
      <w:r>
        <w:rPr>
          <w:rFonts w:ascii="Calibri" w:cs="Calibri" w:eastAsia="Calibri" w:hAnsi="Calibri"/>
          <w:sz w:val="21"/>
          <w:szCs w:val="21"/>
        </w:rPr>
        <w:t xml:space="preserve"> years after completion.</w:t>
      </w:r>
    </w:p>
    <w:p>
      <w:pPr>
        <w:keepNext/>
        <w:spacing w:after="120" w:before="280"/>
        <w:outlineLvl w:val="0"/>
      </w:pPr>
      <w:r>
        <w:rPr>
          <w:rFonts w:ascii="Calibri" w:cs="Calibri" w:eastAsia="Calibri" w:hAnsi="Calibri"/>
          <w:b/>
          <w:bCs/>
          <w:color w:val="14161B"/>
          <w:sz w:val="22"/>
          <w:szCs w:val="22"/>
        </w:rPr>
        <w:t xml:space="preserve">13. TERM AND TERMINATION</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This Agreement commences on the Effective Date and continues for </w:t>
      </w:r>
      <w:r>
        <w:rPr>
          <w:rFonts w:ascii="Calibri" w:cs="Calibri" w:eastAsia="Calibri" w:hAnsi="Calibri"/>
          <w:b/>
          <w:bCs/>
          <w:sz w:val="21"/>
          <w:szCs w:val="21"/>
        </w:rPr>
        <w:t xml:space="preserve">[TERM]</w:t>
      </w:r>
      <w:r>
        <w:rPr>
          <w:rFonts w:ascii="Calibri" w:cs="Calibri" w:eastAsia="Calibri" w:hAnsi="Calibri"/>
          <w:sz w:val="21"/>
          <w:szCs w:val="21"/>
        </w:rPr>
        <w:t xml:space="preserve">, renewable by written agreement.</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Either Party may terminate this Agreement for convenience on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 Termination does not affect POs already accepted, which shall be completed unless the Buyer directs otherwise.</w:t>
      </w:r>
    </w:p>
    <w:p>
      <w:pPr>
        <w:spacing w:after="120" w:before="60" w:line="276"/>
        <w:ind w:left="720" w:hanging="720"/>
        <w:jc w:val="both"/>
      </w:pPr>
      <w:r>
        <w:rPr>
          <w:rFonts w:ascii="Calibri" w:cs="Calibri" w:eastAsia="Calibri" w:hAnsi="Calibri"/>
          <w:sz w:val="21"/>
          <w:szCs w:val="21"/>
        </w:rPr>
        <w:t xml:space="preserve">13.3	</w:t>
      </w:r>
      <w:r>
        <w:rPr>
          <w:rFonts w:ascii="Calibri" w:cs="Calibri" w:eastAsia="Calibri" w:hAnsi="Calibri"/>
          <w:sz w:val="21"/>
          <w:szCs w:val="21"/>
        </w:rPr>
        <w:t xml:space="preserve">The Buyer may terminate this Agreement or any PO with immediate effect if the Vendor: (a) commits a material breach not remedied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notice; (b) repeatedly fails to meet delivery dates or quality requirements; (c) suffers admission of an insolvency application under the Insolvency and Bankruptcy Code, 2016, or has a receiver, liquidator or resolution professional appointed; (d) undergoes a change of control to which the Buyer objects on reasonable grounds; or (e) breaches Clause 7 or Clause 10.</w:t>
      </w:r>
    </w:p>
    <w:p>
      <w:pPr>
        <w:spacing w:after="120" w:before="60" w:line="276"/>
        <w:ind w:left="720" w:hanging="720"/>
        <w:jc w:val="both"/>
      </w:pPr>
      <w:r>
        <w:rPr>
          <w:rFonts w:ascii="Calibri" w:cs="Calibri" w:eastAsia="Calibri" w:hAnsi="Calibri"/>
          <w:sz w:val="21"/>
          <w:szCs w:val="21"/>
        </w:rPr>
        <w:t xml:space="preserve">13.4	</w:t>
      </w:r>
      <w:r>
        <w:rPr>
          <w:rFonts w:ascii="Calibri" w:cs="Calibri" w:eastAsia="Calibri" w:hAnsi="Calibri"/>
          <w:sz w:val="21"/>
          <w:szCs w:val="21"/>
        </w:rPr>
        <w:t xml:space="preserve">On termination the Vendor shall deliver up all Buyer property, tooling, data, materials and confidential information, and shall provide reasonable transition assistance for up to </w:t>
      </w:r>
      <w:r>
        <w:rPr>
          <w:rFonts w:ascii="Calibri" w:cs="Calibri" w:eastAsia="Calibri" w:hAnsi="Calibri"/>
          <w:b/>
          <w:bCs/>
          <w:sz w:val="21"/>
          <w:szCs w:val="21"/>
        </w:rPr>
        <w:t xml:space="preserve">[NUMBER]</w:t>
      </w:r>
      <w:r>
        <w:rPr>
          <w:rFonts w:ascii="Calibri" w:cs="Calibri" w:eastAsia="Calibri" w:hAnsi="Calibri"/>
          <w:sz w:val="21"/>
          <w:szCs w:val="21"/>
        </w:rPr>
        <w:t xml:space="preserve"> months on the prevailing prices.</w:t>
      </w:r>
    </w:p>
    <w:p>
      <w:pPr>
        <w:spacing w:after="120" w:before="60" w:line="276"/>
        <w:ind w:left="720" w:hanging="720"/>
        <w:jc w:val="both"/>
      </w:pPr>
      <w:r>
        <w:rPr>
          <w:rFonts w:ascii="Calibri" w:cs="Calibri" w:eastAsia="Calibri" w:hAnsi="Calibri"/>
          <w:sz w:val="21"/>
          <w:szCs w:val="21"/>
        </w:rPr>
        <w:t xml:space="preserve">13.5	</w:t>
      </w:r>
      <w:r>
        <w:rPr>
          <w:rFonts w:ascii="Calibri" w:cs="Calibri" w:eastAsia="Calibri" w:hAnsi="Calibri"/>
          <w:sz w:val="21"/>
          <w:szCs w:val="21"/>
        </w:rPr>
        <w:t xml:space="preserve">Clauses 6, 8, 9, 10, 11, 12, 14 and 15 survive termination.</w:t>
      </w:r>
    </w:p>
    <w:p>
      <w:pPr>
        <w:keepNext/>
        <w:spacing w:after="120" w:before="280"/>
        <w:outlineLvl w:val="0"/>
      </w:pPr>
      <w:r>
        <w:rPr>
          <w:rFonts w:ascii="Calibri" w:cs="Calibri" w:eastAsia="Calibri" w:hAnsi="Calibri"/>
          <w:b/>
          <w:bCs/>
          <w:color w:val="14161B"/>
          <w:sz w:val="22"/>
          <w:szCs w:val="22"/>
        </w:rPr>
        <w:t xml:space="preserve">14. FORCE MAJEURE</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Neither Party is liable for failure to perform (other than to pay money due) caused by an event beyond its reasonable control, provided it notifies the other promptly, mitigates, and resumes performance as soon as practicable. Non-availability of materials, labour disputes affecting only the Vendor, and failures of the Vendor’s own sub-suppliers are not force majeure events unless themselves caused by such an event.</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sz w:val="21"/>
          <w:szCs w:val="21"/>
        </w:rPr>
        <w:t xml:space="preserve">If the event continues for more than </w:t>
      </w:r>
      <w:r>
        <w:rPr>
          <w:rFonts w:ascii="Calibri" w:cs="Calibri" w:eastAsia="Calibri" w:hAnsi="Calibri"/>
          <w:b/>
          <w:bCs/>
          <w:sz w:val="21"/>
          <w:szCs w:val="21"/>
        </w:rPr>
        <w:t xml:space="preserve">[NUMBER]</w:t>
      </w:r>
      <w:r>
        <w:rPr>
          <w:rFonts w:ascii="Calibri" w:cs="Calibri" w:eastAsia="Calibri" w:hAnsi="Calibri"/>
          <w:sz w:val="21"/>
          <w:szCs w:val="21"/>
        </w:rPr>
        <w:t xml:space="preserve"> days, the Buyer may cancel the affected PO without liability. During any force majeure affecting the Vendor, the Buyer may procure substitute supplies elsewhere without breach of any minimum-volume commitment.</w:t>
      </w:r>
    </w:p>
    <w:p>
      <w:pPr>
        <w:keepNext/>
        <w:spacing w:after="120" w:before="280"/>
        <w:outlineLvl w:val="0"/>
      </w:pPr>
      <w:r>
        <w:rPr>
          <w:rFonts w:ascii="Calibri" w:cs="Calibri" w:eastAsia="Calibri" w:hAnsi="Calibri"/>
          <w:b/>
          <w:bCs/>
          <w:color w:val="14161B"/>
          <w:sz w:val="22"/>
          <w:szCs w:val="22"/>
        </w:rPr>
        <w:t xml:space="preserve">15. GOVERNING LAW AND DISPUTES</w:t>
      </w:r>
    </w:p>
    <w:p>
      <w:pPr>
        <w:spacing w:after="120" w:before="60" w:line="276"/>
        <w:ind w:left="720" w:hanging="720"/>
        <w:jc w:val="both"/>
      </w:pPr>
      <w:r>
        <w:rPr>
          <w:rFonts w:ascii="Calibri" w:cs="Calibri" w:eastAsia="Calibri" w:hAnsi="Calibri"/>
          <w:sz w:val="21"/>
          <w:szCs w:val="21"/>
        </w:rPr>
        <w:t xml:space="preserve">15.1	</w:t>
      </w:r>
      <w:r>
        <w:rPr>
          <w:rFonts w:ascii="Calibri" w:cs="Calibri" w:eastAsia="Calibri" w:hAnsi="Calibri"/>
          <w:sz w:val="21"/>
          <w:szCs w:val="21"/>
        </w:rPr>
        <w:t xml:space="preserve">This Agreement is governed by the laws of India.</w:t>
      </w:r>
    </w:p>
    <w:p>
      <w:pPr>
        <w:spacing w:after="120" w:before="60" w:line="276"/>
        <w:ind w:left="720" w:hanging="720"/>
        <w:jc w:val="both"/>
      </w:pPr>
      <w:r>
        <w:rPr>
          <w:rFonts w:ascii="Calibri" w:cs="Calibri" w:eastAsia="Calibri" w:hAnsi="Calibri"/>
          <w:sz w:val="21"/>
          <w:szCs w:val="21"/>
        </w:rPr>
        <w:t xml:space="preserve">15.2	</w:t>
      </w:r>
      <w:r>
        <w:rPr>
          <w:rFonts w:ascii="Calibri" w:cs="Calibri" w:eastAsia="Calibri" w:hAnsi="Calibri"/>
          <w:sz w:val="21"/>
          <w:szCs w:val="21"/>
        </w:rPr>
        <w:t xml:space="preserve">The Parties shall attempt to resolve disputes by escalation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Any unresolved dispute shall be finally resolved by arbitration before a sole arbitrator under the Arbitration and Conciliation Act, 1996, with seat and venue at </w:t>
      </w:r>
      <w:r>
        <w:rPr>
          <w:rFonts w:ascii="Calibri" w:cs="Calibri" w:eastAsia="Calibri" w:hAnsi="Calibri"/>
          <w:b/>
          <w:bCs/>
          <w:sz w:val="21"/>
          <w:szCs w:val="21"/>
        </w:rPr>
        <w:t xml:space="preserve">[CITY]</w:t>
      </w:r>
      <w:r>
        <w:rPr>
          <w:rFonts w:ascii="Calibri" w:cs="Calibri" w:eastAsia="Calibri" w:hAnsi="Calibri"/>
          <w:sz w:val="21"/>
          <w:szCs w:val="21"/>
        </w:rPr>
        <w:t xml:space="preserve">, India, in English. Either Party may seek interim relief from a competent court. Subject to this Clause,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have exclusive jurisdiction.</w:t>
      </w:r>
    </w:p>
    <w:p>
      <w:pPr>
        <w:keepNext/>
        <w:spacing w:after="120" w:before="280"/>
        <w:outlineLvl w:val="0"/>
      </w:pPr>
      <w:r>
        <w:rPr>
          <w:rFonts w:ascii="Calibri" w:cs="Calibri" w:eastAsia="Calibri" w:hAnsi="Calibri"/>
          <w:b/>
          <w:bCs/>
          <w:color w:val="14161B"/>
          <w:sz w:val="22"/>
          <w:szCs w:val="22"/>
        </w:rPr>
        <w:t xml:space="preserve">16. GENERAL</w:t>
      </w:r>
    </w:p>
    <w:p>
      <w:pPr>
        <w:spacing w:after="120" w:before="60" w:line="276"/>
        <w:ind w:left="720" w:hanging="720"/>
        <w:jc w:val="both"/>
      </w:pPr>
      <w:r>
        <w:rPr>
          <w:rFonts w:ascii="Calibri" w:cs="Calibri" w:eastAsia="Calibri" w:hAnsi="Calibri"/>
          <w:sz w:val="21"/>
          <w:szCs w:val="21"/>
        </w:rPr>
        <w:t xml:space="preserve">16.1	</w:t>
      </w:r>
      <w:r>
        <w:rPr>
          <w:rFonts w:ascii="Calibri" w:cs="Calibri" w:eastAsia="Calibri" w:hAnsi="Calibri"/>
          <w:b/>
          <w:bCs/>
          <w:sz w:val="21"/>
          <w:szCs w:val="21"/>
        </w:rPr>
        <w:t xml:space="preserve">Notices.</w:t>
      </w:r>
      <w:r>
        <w:rPr>
          <w:rFonts w:ascii="Calibri" w:cs="Calibri" w:eastAsia="Calibri" w:hAnsi="Calibri"/>
          <w:sz w:val="21"/>
          <w:szCs w:val="21"/>
        </w:rPr>
        <w:t xml:space="preserve"> In writing, by hand, courier, registered post or email to the addresses stated above or as notified. Notices of breach or termination shall additionally be sent by courier or registered post.</w:t>
      </w:r>
    </w:p>
    <w:p>
      <w:pPr>
        <w:spacing w:after="120" w:before="60" w:line="276"/>
        <w:ind w:left="720" w:hanging="720"/>
        <w:jc w:val="both"/>
      </w:pPr>
      <w:r>
        <w:rPr>
          <w:rFonts w:ascii="Calibri" w:cs="Calibri" w:eastAsia="Calibri" w:hAnsi="Calibri"/>
          <w:sz w:val="21"/>
          <w:szCs w:val="21"/>
        </w:rPr>
        <w:t xml:space="preserve">16.2	</w:t>
      </w:r>
      <w:r>
        <w:rPr>
          <w:rFonts w:ascii="Calibri" w:cs="Calibri" w:eastAsia="Calibri" w:hAnsi="Calibri"/>
          <w:b/>
          <w:bCs/>
          <w:sz w:val="21"/>
          <w:szCs w:val="21"/>
        </w:rPr>
        <w:t xml:space="preserve">Entire agreement.</w:t>
      </w:r>
      <w:r>
        <w:rPr>
          <w:rFonts w:ascii="Calibri" w:cs="Calibri" w:eastAsia="Calibri" w:hAnsi="Calibri"/>
          <w:sz w:val="21"/>
          <w:szCs w:val="21"/>
        </w:rPr>
        <w:t xml:space="preserve"> This Agreement and the POs constitute the entire agreement and supersede all prior arrangements.</w:t>
      </w:r>
    </w:p>
    <w:p>
      <w:pPr>
        <w:spacing w:after="120" w:before="60" w:line="276"/>
        <w:ind w:left="720" w:hanging="720"/>
        <w:jc w:val="both"/>
      </w:pPr>
      <w:r>
        <w:rPr>
          <w:rFonts w:ascii="Calibri" w:cs="Calibri" w:eastAsia="Calibri" w:hAnsi="Calibri"/>
          <w:sz w:val="21"/>
          <w:szCs w:val="21"/>
        </w:rPr>
        <w:t xml:space="preserve">16.3	</w:t>
      </w:r>
      <w:r>
        <w:rPr>
          <w:rFonts w:ascii="Calibri" w:cs="Calibri" w:eastAsia="Calibri" w:hAnsi="Calibri"/>
          <w:b/>
          <w:bCs/>
          <w:sz w:val="21"/>
          <w:szCs w:val="21"/>
        </w:rPr>
        <w:t xml:space="preserve">Assignment and subcontracting.</w:t>
      </w:r>
      <w:r>
        <w:rPr>
          <w:rFonts w:ascii="Calibri" w:cs="Calibri" w:eastAsia="Calibri" w:hAnsi="Calibri"/>
          <w:sz w:val="21"/>
          <w:szCs w:val="21"/>
        </w:rPr>
        <w:t xml:space="preserve"> The Vendor may not assign or subcontract any obligation without the Buyer’s prior written consent, and remains responsible for its sub-suppliers. The Buyer may assign to an Affiliate or successor.</w:t>
      </w:r>
    </w:p>
    <w:p>
      <w:pPr>
        <w:spacing w:after="120" w:before="60" w:line="276"/>
        <w:ind w:left="720" w:hanging="720"/>
        <w:jc w:val="both"/>
      </w:pPr>
      <w:r>
        <w:rPr>
          <w:rFonts w:ascii="Calibri" w:cs="Calibri" w:eastAsia="Calibri" w:hAnsi="Calibri"/>
          <w:sz w:val="21"/>
          <w:szCs w:val="21"/>
        </w:rPr>
        <w:t xml:space="preserve">16.4	</w:t>
      </w:r>
      <w:r>
        <w:rPr>
          <w:rFonts w:ascii="Calibri" w:cs="Calibri" w:eastAsia="Calibri" w:hAnsi="Calibri"/>
          <w:b/>
          <w:bCs/>
          <w:sz w:val="21"/>
          <w:szCs w:val="21"/>
        </w:rPr>
        <w:t xml:space="preserve">Independent contractor.</w:t>
      </w:r>
      <w:r>
        <w:rPr>
          <w:rFonts w:ascii="Calibri" w:cs="Calibri" w:eastAsia="Calibri" w:hAnsi="Calibri"/>
          <w:sz w:val="21"/>
          <w:szCs w:val="21"/>
        </w:rPr>
        <w:t xml:space="preserve"> The Vendor is an independent contractor and not an agent, partner or employee of the Buyer.</w:t>
      </w:r>
    </w:p>
    <w:p>
      <w:pPr>
        <w:spacing w:after="120" w:before="60" w:line="276"/>
        <w:ind w:left="720" w:hanging="720"/>
        <w:jc w:val="both"/>
      </w:pPr>
      <w:r>
        <w:rPr>
          <w:rFonts w:ascii="Calibri" w:cs="Calibri" w:eastAsia="Calibri" w:hAnsi="Calibri"/>
          <w:sz w:val="21"/>
          <w:szCs w:val="21"/>
        </w:rPr>
        <w:t xml:space="preserve">16.5	</w:t>
      </w:r>
      <w:r>
        <w:rPr>
          <w:rFonts w:ascii="Calibri" w:cs="Calibri" w:eastAsia="Calibri" w:hAnsi="Calibri"/>
          <w:b/>
          <w:bCs/>
          <w:sz w:val="21"/>
          <w:szCs w:val="21"/>
        </w:rPr>
        <w:t xml:space="preserve">Severability, waiver, counterparts.</w:t>
      </w:r>
      <w:r>
        <w:rPr>
          <w:rFonts w:ascii="Calibri" w:cs="Calibri" w:eastAsia="Calibri" w:hAnsi="Calibri"/>
          <w:sz w:val="21"/>
          <w:szCs w:val="21"/>
        </w:rPr>
        <w:t xml:space="preserve"> Invalid provisions shall be severed; no delay is a waiver; the Agreement may be executed in counterparts and by electronic signature under Section 5 of the Information Technology Act, 2000.</w:t>
      </w:r>
    </w:p>
    <w:p>
      <w:pPr>
        <w:spacing w:after="120" w:before="60" w:line="276"/>
        <w:ind w:left="720" w:hanging="720"/>
        <w:jc w:val="both"/>
      </w:pPr>
      <w:r>
        <w:rPr>
          <w:rFonts w:ascii="Calibri" w:cs="Calibri" w:eastAsia="Calibri" w:hAnsi="Calibri"/>
          <w:sz w:val="21"/>
          <w:szCs w:val="21"/>
        </w:rPr>
        <w:t xml:space="preserve">16.6	</w:t>
      </w:r>
      <w:r>
        <w:rPr>
          <w:rFonts w:ascii="Calibri" w:cs="Calibri" w:eastAsia="Calibri" w:hAnsi="Calibri"/>
          <w:b/>
          <w:bCs/>
          <w:sz w:val="21"/>
          <w:szCs w:val="21"/>
        </w:rPr>
        <w:t xml:space="preserve">Stamp duty.</w:t>
      </w:r>
      <w:r>
        <w:rPr>
          <w:rFonts w:ascii="Calibri" w:cs="Calibri" w:eastAsia="Calibri" w:hAnsi="Calibri"/>
          <w:sz w:val="21"/>
          <w:szCs w:val="21"/>
        </w:rPr>
        <w:t xml:space="preserve"> Borne by </w:t>
      </w:r>
      <w:r>
        <w:rPr>
          <w:rFonts w:ascii="Calibri" w:cs="Calibri" w:eastAsia="Calibri" w:hAnsi="Calibri"/>
          <w:b/>
          <w:bCs/>
          <w:sz w:val="21"/>
          <w:szCs w:val="21"/>
        </w:rPr>
        <w:t xml:space="preserve">[PARTY BEARING STAMP DUTY]</w:t>
      </w:r>
      <w:r>
        <w:rPr>
          <w:rFonts w:ascii="Calibri" w:cs="Calibri" w:eastAsia="Calibri" w:hAnsi="Calibri"/>
          <w:sz w:val="21"/>
          <w:szCs w:val="21"/>
        </w:rPr>
        <w:t xml:space="preserve">.</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[BUYER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[VENDOR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Supplies, Specifications and Pricing</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1804"/>
        <w:gridCol w:w="5112"/>
        <w:gridCol w:w="1503"/>
        <w:gridCol w:w="1052"/>
        <w:gridCol w:w="1804"/>
        <w:gridCol w:w="1203"/>
        <w:gridCol w:w="1959"/>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 / SKU</w:t>
            </w:r>
          </w:p>
        </w:tc>
        <w:tc>
          <w:tcPr>
            <w:tcW w:type="dxa" w:w="51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and specification</w:t>
            </w:r>
          </w:p>
        </w:tc>
        <w:tc>
          <w:tcPr>
            <w:tcW w:type="dxa" w:w="15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HSN / SAC</w:t>
            </w:r>
          </w:p>
        </w:tc>
        <w:tc>
          <w:tcPr>
            <w:tcW w:type="dxa" w:w="1052"/>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80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Unit price (₹)</w:t>
            </w:r>
          </w:p>
        </w:tc>
        <w:tc>
          <w:tcPr>
            <w:tcW w:type="dxa" w:w="120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GST rate</w:t>
            </w:r>
          </w:p>
        </w:tc>
        <w:tc>
          <w:tcPr>
            <w:tcW w:type="dxa" w:w="195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Lead time</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[SKU]</w:t>
            </w:r>
          </w:p>
        </w:tc>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AND STANDARD]</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[HSN]</w:t>
            </w:r>
          </w:p>
        </w:tc>
        <w:tc>
          <w:tcPr>
            <w:tcW w:type="dxa" w:w="10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[RATE]</w:t>
            </w:r>
            <w:r>
              <w:rPr>
                <w:rFonts w:ascii="Calibri" w:cs="Calibri" w:eastAsia="Calibri" w:hAnsi="Calibri"/>
                <w:sz w:val="18"/>
                <w:szCs w:val="18"/>
              </w:rPr>
              <w:t xml:space="preserve">%</w:t>
            </w:r>
          </w:p>
        </w:tc>
        <w:tc>
          <w:tcPr>
            <w:tcW w:type="dxa" w:w="195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[SKU]</w:t>
            </w:r>
          </w:p>
        </w:tc>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AND STANDARD]</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[HSN]</w:t>
            </w:r>
          </w:p>
        </w:tc>
        <w:tc>
          <w:tcPr>
            <w:tcW w:type="dxa" w:w="10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[RATE]</w:t>
            </w:r>
            <w:r>
              <w:rPr>
                <w:rFonts w:ascii="Calibri" w:cs="Calibri" w:eastAsia="Calibri" w:hAnsi="Calibri"/>
                <w:sz w:val="18"/>
                <w:szCs w:val="18"/>
              </w:rPr>
              <w:t xml:space="preserve">%</w:t>
            </w:r>
          </w:p>
        </w:tc>
        <w:tc>
          <w:tcPr>
            <w:tcW w:type="dxa" w:w="195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[SKU]</w:t>
            </w:r>
          </w:p>
        </w:tc>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AND STANDARD]</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[HSN]</w:t>
            </w:r>
          </w:p>
        </w:tc>
        <w:tc>
          <w:tcPr>
            <w:tcW w:type="dxa" w:w="10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[RATE]</w:t>
            </w:r>
            <w:r>
              <w:rPr>
                <w:rFonts w:ascii="Calibri" w:cs="Calibri" w:eastAsia="Calibri" w:hAnsi="Calibri"/>
                <w:sz w:val="18"/>
                <w:szCs w:val="18"/>
              </w:rPr>
              <w:t xml:space="preserve">%</w:t>
            </w:r>
          </w:p>
        </w:tc>
        <w:tc>
          <w:tcPr>
            <w:tcW w:type="dxa" w:w="195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[SKU]</w:t>
            </w:r>
          </w:p>
        </w:tc>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AND STANDARD]</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[HSN]</w:t>
            </w:r>
          </w:p>
        </w:tc>
        <w:tc>
          <w:tcPr>
            <w:tcW w:type="dxa" w:w="10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[RATE]</w:t>
            </w:r>
            <w:r>
              <w:rPr>
                <w:rFonts w:ascii="Calibri" w:cs="Calibri" w:eastAsia="Calibri" w:hAnsi="Calibri"/>
                <w:sz w:val="18"/>
                <w:szCs w:val="18"/>
              </w:rPr>
              <w:t xml:space="preserve">%</w:t>
            </w:r>
          </w:p>
        </w:tc>
        <w:tc>
          <w:tcPr>
            <w:tcW w:type="dxa" w:w="195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[SKU]</w:t>
            </w:r>
          </w:p>
        </w:tc>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[DESCRIPTION AND STANDARD]</w:t>
            </w:r>
          </w:p>
        </w:tc>
        <w:tc>
          <w:tcPr>
            <w:tcW w:type="dxa" w:w="15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[HSN]</w:t>
            </w:r>
          </w:p>
        </w:tc>
        <w:tc>
          <w:tcPr>
            <w:tcW w:type="dxa" w:w="10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[UoM]</w:t>
            </w:r>
          </w:p>
        </w:tc>
        <w:tc>
          <w:tcPr>
            <w:tcW w:type="dxa" w:w="180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[PRICE]</w:t>
            </w:r>
          </w:p>
        </w:tc>
        <w:tc>
          <w:tcPr>
            <w:tcW w:type="dxa" w:w="1203"/>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[RATE]</w:t>
            </w:r>
            <w:r>
              <w:rPr>
                <w:rFonts w:ascii="Calibri" w:cs="Calibri" w:eastAsia="Calibri" w:hAnsi="Calibri"/>
                <w:sz w:val="18"/>
                <w:szCs w:val="18"/>
              </w:rPr>
              <w:t xml:space="preserve">%</w:t>
            </w:r>
          </w:p>
        </w:tc>
        <w:tc>
          <w:tcPr>
            <w:tcW w:type="dxa" w:w="195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bl>
    <w:p>
      <w:pPr>
        <w:spacing w:after="160"/>
      </w:pPr>
    </w:p>
    <w:p>
      <w:pPr>
        <w:spacing w:after="200" w:before="0" w:line="276"/>
        <w:jc w:val="both"/>
      </w:pPr>
      <w:r>
        <w:rPr>
          <w:rFonts w:ascii="Calibri" w:cs="Calibri" w:eastAsia="Calibri" w:hAnsi="Calibri"/>
          <w:color w:val="6E7480"/>
          <w:sz w:val="17"/>
          <w:szCs w:val="17"/>
        </w:rPr>
        <w:t xml:space="preserve">Prices are exclusive of goods and services tax and inclusive of packing, freight, insurance and delivery to the Delivery Point. Prices are firm until </w:t>
      </w:r>
      <w:r>
        <w:rPr>
          <w:rFonts w:ascii="Calibri" w:cs="Calibri" w:eastAsia="Calibri" w:hAnsi="Calibri"/>
          <w:b/>
          <w:bCs/>
          <w:color w:val="6E7480"/>
          <w:sz w:val="17"/>
          <w:szCs w:val="17"/>
        </w:rPr>
        <w:t xml:space="preserve">[DATE]</w:t>
      </w:r>
      <w:r>
        <w:rPr>
          <w:rFonts w:ascii="Calibri" w:cs="Calibri" w:eastAsia="Calibri" w:hAnsi="Calibri"/>
          <w:color w:val="6E7480"/>
          <w:sz w:val="17"/>
          <w:szCs w:val="17"/>
        </w:rPr>
        <w:t xml:space="preserve">.</w:t>
      </w:r>
    </w:p>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Service Levels and Vendor Scorecard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891"/>
        <w:gridCol w:w="1156"/>
        <w:gridCol w:w="1252"/>
        <w:gridCol w:w="2219"/>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Metric</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Definition</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Target</w:t>
            </w:r>
          </w:p>
        </w:tc>
        <w:tc>
          <w:tcPr>
            <w:tcW w:type="dxa" w:w="1252"/>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Measurement</w:t>
            </w:r>
          </w:p>
        </w:tc>
        <w:tc>
          <w:tcPr>
            <w:tcW w:type="dxa" w:w="22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 of shortfall</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On-time in full (OTIF)</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Consignments delivered in full on the PO date</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[98]</w:t>
            </w:r>
            <w:r>
              <w:rPr>
                <w:rFonts w:ascii="Calibri" w:cs="Calibri" w:eastAsia="Calibri" w:hAnsi="Calibri"/>
                <w:sz w:val="18"/>
                <w:szCs w:val="18"/>
              </w:rPr>
              <w:t xml:space="preserve">%</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Monthly</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Improvement plan; liquidated damages under Clause 4.6</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Quality acceptance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Consignments accepted without rejection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[99]</w:t>
            </w:r>
            <w:r>
              <w:rPr>
                <w:rFonts w:ascii="Calibri" w:cs="Calibri" w:eastAsia="Calibri" w:hAnsi="Calibri"/>
                <w:sz w:val="18"/>
                <w:szCs w:val="18"/>
              </w:rPr>
              <w:t xml:space="preserve">%</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Monthly</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Root-cause report within </w:t>
            </w:r>
            <w:r>
              <w:rPr>
                <w:rFonts w:ascii="Calibri" w:cs="Calibri" w:eastAsia="Calibri" w:hAnsi="Calibri"/>
                <w:b/>
                <w:bCs/>
                <w:sz w:val="18"/>
                <w:szCs w:val="18"/>
              </w:rPr>
              <w:t xml:space="preserve">[NUMBER]</w:t>
            </w:r>
            <w:r>
              <w:rPr>
                <w:rFonts w:ascii="Calibri" w:cs="Calibri" w:eastAsia="Calibri" w:hAnsi="Calibri"/>
                <w:sz w:val="18"/>
                <w:szCs w:val="18"/>
              </w:rPr>
              <w:t xml:space="preserve"> days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Documentation accuracy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Invoices and e-way bills correct at first submission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[99]</w:t>
            </w:r>
            <w:r>
              <w:rPr>
                <w:rFonts w:ascii="Calibri" w:cs="Calibri" w:eastAsia="Calibri" w:hAnsi="Calibri"/>
                <w:sz w:val="18"/>
                <w:szCs w:val="18"/>
              </w:rPr>
              <w:t xml:space="preserve">%</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Monthly</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clock restarts on correction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GST return compliance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Invoices reported in the correct return period</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100%</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Monthly</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Set-off under Clause 6.6</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Response to quality complaint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 to acknowledge a written complaint</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[1]</w:t>
            </w:r>
            <w:r>
              <w:rPr>
                <w:rFonts w:ascii="Calibri" w:cs="Calibri" w:eastAsia="Calibri" w:hAnsi="Calibri"/>
                <w:sz w:val="18"/>
                <w:szCs w:val="18"/>
              </w:rPr>
              <w:t xml:space="preserve"> Business Day</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Per event</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Escalation to senior management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compliance evidence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Wage and contribution proofs furnished with invoice</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100%</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Monthly</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withheld until furnished</w:t>
            </w:r>
          </w:p>
        </w:tc>
      </w:tr>
    </w:tbl>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Form of Purchase Order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Field</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 number /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 NUMBER]</w:t>
            </w:r>
            <w:r>
              <w:rPr>
                <w:rFonts w:ascii="Calibri" w:cs="Calibri" w:eastAsia="Calibri" w:hAnsi="Calibri"/>
                <w:sz w:val="19"/>
                <w:szCs w:val="19"/>
              </w:rPr>
              <w:t xml:space="preserve"> / </w:t>
            </w: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Buyer entity and GSTIN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[BUYER NAME]</w:t>
            </w:r>
            <w:r>
              <w:rPr>
                <w:rFonts w:ascii="Calibri" w:cs="Calibri" w:eastAsia="Calibri" w:hAnsi="Calibri"/>
                <w:sz w:val="19"/>
                <w:szCs w:val="19"/>
              </w:rPr>
              <w:t xml:space="preserve"> / </w:t>
            </w:r>
            <w:r>
              <w:rPr>
                <w:rFonts w:ascii="Calibri" w:cs="Calibri" w:eastAsia="Calibri" w:hAnsi="Calibri"/>
                <w:b/>
                <w:bCs/>
                <w:sz w:val="19"/>
                <w:szCs w:val="19"/>
              </w:rPr>
              <w:t xml:space="preserve">[GSTIN]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Vendor and GSTIN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[VENDOR NAME]</w:t>
            </w:r>
            <w:r>
              <w:rPr>
                <w:rFonts w:ascii="Calibri" w:cs="Calibri" w:eastAsia="Calibri" w:hAnsi="Calibri"/>
                <w:sz w:val="19"/>
                <w:szCs w:val="19"/>
              </w:rPr>
              <w:t xml:space="preserve"> / </w:t>
            </w:r>
            <w:r>
              <w:rPr>
                <w:rFonts w:ascii="Calibri" w:cs="Calibri" w:eastAsia="Calibri" w:hAnsi="Calibri"/>
                <w:b/>
                <w:bCs/>
                <w:sz w:val="19"/>
                <w:szCs w:val="19"/>
              </w:rPr>
              <w:t xml:space="preserve">[GSTIN]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Ship-to address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[DELIVERY POINT]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Bill-to address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[BILLING ADDRESS]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Required delivery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terms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 from receipt of correct invoice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Inspection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[AT DELIVERY / AT VENDOR PREMISES / THIRD-PARTY]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Special instructions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[TEXT]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Authorised by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DESIGNATION]</w:t>
            </w:r>
          </w:p>
        </w:tc>
      </w:tr>
    </w:tbl>
    <w:p>
      <w:pPr>
        <w:spacing w:after="12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1542"/>
        <w:gridCol w:w="3662"/>
        <w:gridCol w:w="963"/>
        <w:gridCol w:w="1445"/>
        <w:gridCol w:w="1448"/>
      </w:tblGrid>
      <w:tr>
        <w:trPr>
          <w:tblHeader/>
        </w:trPr>
        <w:tc>
          <w:tcPr>
            <w:tcW w:type="dxa" w:w="57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 / SKU</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963"/>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Unit price (₹)</w:t>
            </w:r>
          </w:p>
        </w:tc>
        <w:tc>
          <w:tcPr>
            <w:tcW w:type="dxa" w:w="144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 (₹)</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[SKU]</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[PRICE]</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[SKU]</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[PRICE]</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578"/>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[SKU]</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c>
          <w:tcPr>
            <w:tcW w:type="dxa" w:w="963"/>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[QTY]</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[PRICE]</w:t>
            </w: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[VALUE]</w:t>
            </w:r>
          </w:p>
        </w:tc>
      </w:tr>
      <w:tr>
        <w:tc>
          <w:tcPr>
            <w:tcW w:type="dxa" w:w="578"/>
            <w:tcMar>
              <w:top w:type="dxa" w:w="70"/>
              <w:left w:type="dxa" w:w="100"/>
              <w:bottom w:type="dxa" w:w="70"/>
              <w:right w:type="dxa" w:w="100"/>
            </w:tcMar>
            <w:vAlign w:val="center"/>
          </w:tcPr>
          <w:p>
            <w:pPr>
              <w:spacing w:after="0" w:line="240"/>
              <w:jc w:val="center"/>
            </w:pPr>
          </w:p>
        </w:tc>
        <w:tc>
          <w:tcPr>
            <w:tcW w:type="dxa" w:w="1542"/>
            <w:tcMar>
              <w:top w:type="dxa" w:w="70"/>
              <w:left w:type="dxa" w:w="100"/>
              <w:bottom w:type="dxa" w:w="70"/>
              <w:right w:type="dxa" w:w="100"/>
            </w:tcMar>
            <w:vAlign w:val="center"/>
          </w:tcPr>
          <w:p>
            <w:pPr>
              <w:spacing w:after="0" w:line="240"/>
              <w:jc w:val="left"/>
            </w:pP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(excl. GST)</w:t>
            </w:r>
          </w:p>
        </w:tc>
        <w:tc>
          <w:tcPr>
            <w:tcW w:type="dxa" w:w="963"/>
            <w:tcMar>
              <w:top w:type="dxa" w:w="70"/>
              <w:left w:type="dxa" w:w="100"/>
              <w:bottom w:type="dxa" w:w="70"/>
              <w:right w:type="dxa" w:w="100"/>
            </w:tcMar>
            <w:vAlign w:val="center"/>
          </w:tcPr>
          <w:p>
            <w:pPr>
              <w:spacing w:after="0" w:line="240"/>
              <w:jc w:val="center"/>
            </w:pPr>
          </w:p>
        </w:tc>
        <w:tc>
          <w:tcPr>
            <w:tcW w:type="dxa" w:w="1445"/>
            <w:tcMar>
              <w:top w:type="dxa" w:w="70"/>
              <w:left w:type="dxa" w:w="100"/>
              <w:bottom w:type="dxa" w:w="70"/>
              <w:right w:type="dxa" w:w="100"/>
            </w:tcMar>
            <w:vAlign w:val="center"/>
          </w:tcPr>
          <w:p>
            <w:pPr>
              <w:spacing w:after="0" w:line="240"/>
              <w:jc w:val="right"/>
            </w:pPr>
          </w:p>
        </w:tc>
        <w:tc>
          <w:tcPr>
            <w:tcW w:type="dxa" w:w="1448"/>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[TOTAL]</w:t>
            </w:r>
          </w:p>
        </w:tc>
      </w:tr>
    </w:tbl>
    <w:p>
      <w:pPr>
        <w:spacing w:after="120"/>
      </w:pPr>
    </w:p>
    <w:p>
      <w:pPr>
        <w:spacing w:after="200" w:before="0" w:line="276"/>
        <w:jc w:val="both"/>
      </w:pPr>
      <w:r>
        <w:rPr>
          <w:rFonts w:ascii="Calibri" w:cs="Calibri" w:eastAsia="Calibri" w:hAnsi="Calibri"/>
          <w:color w:val="6E7480"/>
          <w:sz w:val="17"/>
          <w:szCs w:val="17"/>
        </w:rPr>
        <w:t xml:space="preserve">This purchase order is placed under and is subject to the Vendor Agreement dated </w:t>
      </w:r>
      <w:r>
        <w:rPr>
          <w:rFonts w:ascii="Calibri" w:cs="Calibri" w:eastAsia="Calibri" w:hAnsi="Calibri"/>
          <w:b/>
          <w:bCs/>
          <w:color w:val="6E7480"/>
          <w:sz w:val="17"/>
          <w:szCs w:val="17"/>
        </w:rPr>
        <w:t xml:space="preserve">[DATE]</w:t>
      </w:r>
      <w:r>
        <w:rPr>
          <w:rFonts w:ascii="Calibri" w:cs="Calibri" w:eastAsia="Calibri" w:hAnsi="Calibri"/>
          <w:color w:val="6E7480"/>
          <w:sz w:val="17"/>
          <w:szCs w:val="17"/>
        </w:rPr>
        <w:t xml:space="preserve"> between the Parties. The Vendor’s standard terms are excluded.</w:t>
      </w:r>
    </w:p>
    <w:p>
      <w:pPr>
        <w:spacing w:after="60" w:before="240"/>
        <w:jc w:val="center"/>
      </w:pPr>
      <w:r>
        <w:rPr>
          <w:rFonts w:ascii="Calibri" w:cs="Calibri" w:eastAsia="Calibri" w:hAnsi="Calibri"/>
          <w:b/>
          <w:bCs/>
          <w:color w:val="14161B"/>
          <w:spacing w:val="12"/>
          <w:sz w:val="28"/>
          <w:szCs w:val="28"/>
        </w:rPr>
        <w:t xml:space="preserve">SCHEDULE 4</w:t>
      </w:r>
    </w:p>
    <w:p>
      <w:pPr>
        <w:spacing w:after="260"/>
        <w:jc w:val="center"/>
      </w:pPr>
      <w:r>
        <w:rPr>
          <w:rFonts w:ascii="Calibri" w:cs="Calibri" w:eastAsia="Calibri" w:hAnsi="Calibri"/>
          <w:i/>
          <w:iCs/>
          <w:color w:val="6E7480"/>
          <w:sz w:val="19"/>
          <w:szCs w:val="19"/>
        </w:rPr>
        <w:t xml:space="preserve">Supplier Code of Conduct</w:t>
      </w:r>
    </w:p>
    <w:p>
      <w:pPr>
        <w:keepNext/>
        <w:spacing w:after="100" w:before="200"/>
        <w:outlineLvl w:val="1"/>
      </w:pPr>
      <w:r>
        <w:rPr>
          <w:rFonts w:ascii="Calibri" w:cs="Calibri" w:eastAsia="Calibri" w:hAnsi="Calibri"/>
          <w:b/>
          <w:bCs/>
          <w:color w:val="14161B"/>
          <w:sz w:val="21"/>
          <w:szCs w:val="21"/>
        </w:rPr>
        <w:t xml:space="preserve">1. Labour and human rights</w:t>
      </w:r>
    </w:p>
    <w:p>
      <w:pPr>
        <w:pStyle w:val="ListParagraph"/>
        <w:numPr>
          <w:ilvl w:val="0"/>
          <w:numId w:val="2"/>
        </w:numPr>
        <w:spacing w:after="80" w:before="20" w:line="276"/>
        <w:jc w:val="both"/>
      </w:pPr>
      <w:r>
        <w:rPr>
          <w:rFonts w:ascii="Calibri" w:cs="Calibri" w:eastAsia="Calibri" w:hAnsi="Calibri"/>
          <w:sz w:val="21"/>
          <w:szCs w:val="21"/>
        </w:rPr>
        <w:t xml:space="preserve">No child labour, forced labour, bonded labour or trafficked labour in any part of the Vendor’s operations or supply chain.</w:t>
      </w:r>
    </w:p>
    <w:p>
      <w:pPr>
        <w:pStyle w:val="ListParagraph"/>
        <w:numPr>
          <w:ilvl w:val="0"/>
          <w:numId w:val="2"/>
        </w:numPr>
        <w:spacing w:after="80" w:before="20" w:line="276"/>
        <w:jc w:val="both"/>
      </w:pPr>
      <w:r>
        <w:rPr>
          <w:rFonts w:ascii="Calibri" w:cs="Calibri" w:eastAsia="Calibri" w:hAnsi="Calibri"/>
          <w:sz w:val="21"/>
          <w:szCs w:val="21"/>
        </w:rPr>
        <w:t xml:space="preserve">Wages, hours and conditions compliant with the Code on Wages, 2019 and the Occupational Safety, Health and Working Conditions Code, 2020, including the requirement that the wage base for statutory computations be not less than fifty per cent of total remuneration.</w:t>
      </w:r>
    </w:p>
    <w:p>
      <w:pPr>
        <w:pStyle w:val="ListParagraph"/>
        <w:numPr>
          <w:ilvl w:val="0"/>
          <w:numId w:val="2"/>
        </w:numPr>
        <w:spacing w:after="80" w:before="20" w:line="276"/>
        <w:jc w:val="both"/>
      </w:pPr>
      <w:r>
        <w:rPr>
          <w:rFonts w:ascii="Calibri" w:cs="Calibri" w:eastAsia="Calibri" w:hAnsi="Calibri"/>
          <w:sz w:val="21"/>
          <w:szCs w:val="21"/>
        </w:rPr>
        <w:t xml:space="preserve">Overtime worked voluntarily and paid at not less than twice the ordinary rate of wages, as required under the Labour Codes.</w:t>
      </w:r>
    </w:p>
    <w:p>
      <w:pPr>
        <w:pStyle w:val="ListParagraph"/>
        <w:numPr>
          <w:ilvl w:val="0"/>
          <w:numId w:val="2"/>
        </w:numPr>
        <w:spacing w:after="80" w:before="20" w:line="276"/>
        <w:jc w:val="both"/>
      </w:pPr>
      <w:r>
        <w:rPr>
          <w:rFonts w:ascii="Calibri" w:cs="Calibri" w:eastAsia="Calibri" w:hAnsi="Calibri"/>
          <w:sz w:val="21"/>
          <w:szCs w:val="21"/>
        </w:rPr>
        <w:t xml:space="preserve">Freedom from discrimination, harassment and retaliation; a functioning internal committee where the Sexual Harassment of Women at Workplace (Prevention, Prohibition and Redressal) Act, 2013 applies.</w:t>
      </w:r>
    </w:p>
    <w:p>
      <w:pPr>
        <w:spacing w:after="80"/>
      </w:pPr>
    </w:p>
    <w:p>
      <w:pPr>
        <w:keepNext/>
        <w:spacing w:after="100" w:before="200"/>
        <w:outlineLvl w:val="1"/>
      </w:pPr>
      <w:r>
        <w:rPr>
          <w:rFonts w:ascii="Calibri" w:cs="Calibri" w:eastAsia="Calibri" w:hAnsi="Calibri"/>
          <w:b/>
          <w:bCs/>
          <w:color w:val="14161B"/>
          <w:sz w:val="21"/>
          <w:szCs w:val="21"/>
        </w:rPr>
        <w:t xml:space="preserve">2. Health and safety</w:t>
      </w:r>
    </w:p>
    <w:p>
      <w:pPr>
        <w:pStyle w:val="ListParagraph"/>
        <w:numPr>
          <w:ilvl w:val="0"/>
          <w:numId w:val="2"/>
        </w:numPr>
        <w:spacing w:after="80" w:before="20" w:line="276"/>
        <w:jc w:val="both"/>
      </w:pPr>
      <w:r>
        <w:rPr>
          <w:rFonts w:ascii="Calibri" w:cs="Calibri" w:eastAsia="Calibri" w:hAnsi="Calibri"/>
          <w:sz w:val="21"/>
          <w:szCs w:val="21"/>
        </w:rPr>
        <w:t xml:space="preserve">Safe workplace, risk assessments, personal protective equipment, incident reporting and emergency preparedness.</w:t>
      </w:r>
    </w:p>
    <w:p>
      <w:pPr>
        <w:pStyle w:val="ListParagraph"/>
        <w:numPr>
          <w:ilvl w:val="0"/>
          <w:numId w:val="2"/>
        </w:numPr>
        <w:spacing w:after="80" w:before="20" w:line="276"/>
        <w:jc w:val="both"/>
      </w:pPr>
      <w:r>
        <w:rPr>
          <w:rFonts w:ascii="Calibri" w:cs="Calibri" w:eastAsia="Calibri" w:hAnsi="Calibri"/>
          <w:sz w:val="21"/>
          <w:szCs w:val="21"/>
        </w:rPr>
        <w:t xml:space="preserve">Statutory registrations, licences and returns maintained and available for inspection.</w:t>
      </w:r>
    </w:p>
    <w:p>
      <w:pPr>
        <w:spacing w:after="80"/>
      </w:pPr>
    </w:p>
    <w:p>
      <w:pPr>
        <w:keepNext/>
        <w:spacing w:after="100" w:before="200"/>
        <w:outlineLvl w:val="1"/>
      </w:pPr>
      <w:r>
        <w:rPr>
          <w:rFonts w:ascii="Calibri" w:cs="Calibri" w:eastAsia="Calibri" w:hAnsi="Calibri"/>
          <w:b/>
          <w:bCs/>
          <w:color w:val="14161B"/>
          <w:sz w:val="21"/>
          <w:szCs w:val="21"/>
        </w:rPr>
        <w:t xml:space="preserve">3. Environment</w:t>
      </w:r>
    </w:p>
    <w:p>
      <w:pPr>
        <w:pStyle w:val="ListParagraph"/>
        <w:numPr>
          <w:ilvl w:val="0"/>
          <w:numId w:val="2"/>
        </w:numPr>
        <w:spacing w:after="80" w:before="20" w:line="276"/>
        <w:jc w:val="both"/>
      </w:pPr>
      <w:r>
        <w:rPr>
          <w:rFonts w:ascii="Calibri" w:cs="Calibri" w:eastAsia="Calibri" w:hAnsi="Calibri"/>
          <w:sz w:val="21"/>
          <w:szCs w:val="21"/>
        </w:rPr>
        <w:t xml:space="preserve">Valid consents to establish and operate; lawful handling and disposal of hazardous and electronic waste; extended producer responsibility obligations discharged where applicable.</w:t>
      </w:r>
    </w:p>
    <w:p>
      <w:pPr>
        <w:spacing w:after="80"/>
      </w:pPr>
    </w:p>
    <w:p>
      <w:pPr>
        <w:keepNext/>
        <w:spacing w:after="100" w:before="200"/>
        <w:outlineLvl w:val="1"/>
      </w:pPr>
      <w:r>
        <w:rPr>
          <w:rFonts w:ascii="Calibri" w:cs="Calibri" w:eastAsia="Calibri" w:hAnsi="Calibri"/>
          <w:b/>
          <w:bCs/>
          <w:color w:val="14161B"/>
          <w:sz w:val="21"/>
          <w:szCs w:val="21"/>
        </w:rPr>
        <w:t xml:space="preserve">4. Business integrity</w:t>
      </w:r>
    </w:p>
    <w:p>
      <w:pPr>
        <w:pStyle w:val="ListParagraph"/>
        <w:numPr>
          <w:ilvl w:val="0"/>
          <w:numId w:val="2"/>
        </w:numPr>
        <w:spacing w:after="80" w:before="20" w:line="276"/>
        <w:jc w:val="both"/>
      </w:pPr>
      <w:r>
        <w:rPr>
          <w:rFonts w:ascii="Calibri" w:cs="Calibri" w:eastAsia="Calibri" w:hAnsi="Calibri"/>
          <w:sz w:val="21"/>
          <w:szCs w:val="21"/>
        </w:rPr>
        <w:t xml:space="preserve">No bribery, kickbacks or facilitation payments; no gifts or hospitality to Buyer personnel beyond nominal value.</w:t>
      </w:r>
    </w:p>
    <w:p>
      <w:pPr>
        <w:pStyle w:val="ListParagraph"/>
        <w:numPr>
          <w:ilvl w:val="0"/>
          <w:numId w:val="2"/>
        </w:numPr>
        <w:spacing w:after="80" w:before="20" w:line="276"/>
        <w:jc w:val="both"/>
      </w:pPr>
      <w:r>
        <w:rPr>
          <w:rFonts w:ascii="Calibri" w:cs="Calibri" w:eastAsia="Calibri" w:hAnsi="Calibri"/>
          <w:sz w:val="21"/>
          <w:szCs w:val="21"/>
        </w:rPr>
        <w:t xml:space="preserve">Accurate books and records; no undisclosed conflicts of interest; sanctions and export-control compliance.</w:t>
      </w:r>
    </w:p>
    <w:p>
      <w:pPr>
        <w:pStyle w:val="ListParagraph"/>
        <w:numPr>
          <w:ilvl w:val="0"/>
          <w:numId w:val="2"/>
        </w:numPr>
        <w:spacing w:after="80" w:before="20" w:line="276"/>
        <w:jc w:val="both"/>
      </w:pPr>
      <w:r>
        <w:rPr>
          <w:rFonts w:ascii="Calibri" w:cs="Calibri" w:eastAsia="Calibri" w:hAnsi="Calibri"/>
          <w:sz w:val="21"/>
          <w:szCs w:val="21"/>
        </w:rPr>
        <w:t xml:space="preserve">A confidential channel for the Vendor’s personnel to report concerns without retaliation.</w:t>
      </w:r>
    </w:p>
    <w:p>
      <w:pPr>
        <w:spacing w:after="80"/>
      </w:pPr>
    </w:p>
    <w:p>
      <w:pPr>
        <w:keepNext/>
        <w:spacing w:after="100" w:before="200"/>
        <w:outlineLvl w:val="1"/>
      </w:pPr>
      <w:r>
        <w:rPr>
          <w:rFonts w:ascii="Calibri" w:cs="Calibri" w:eastAsia="Calibri" w:hAnsi="Calibri"/>
          <w:b/>
          <w:bCs/>
          <w:color w:val="14161B"/>
          <w:sz w:val="21"/>
          <w:szCs w:val="21"/>
        </w:rPr>
        <w:t xml:space="preserve">5. Data and information security</w:t>
      </w:r>
    </w:p>
    <w:p>
      <w:pPr>
        <w:pStyle w:val="ListParagraph"/>
        <w:numPr>
          <w:ilvl w:val="0"/>
          <w:numId w:val="2"/>
        </w:numPr>
        <w:spacing w:after="80" w:before="20" w:line="276"/>
        <w:jc w:val="both"/>
      </w:pPr>
      <w:r>
        <w:rPr>
          <w:rFonts w:ascii="Calibri" w:cs="Calibri" w:eastAsia="Calibri" w:hAnsi="Calibri"/>
          <w:sz w:val="21"/>
          <w:szCs w:val="21"/>
        </w:rPr>
        <w:t xml:space="preserve">Access control, encryption of data in transit, secure disposal of media, and breach intimation to the Buyer within twenty-four hours.</w:t>
      </w:r>
    </w:p>
    <w:p>
      <w:pPr>
        <w:spacing w:after="80"/>
      </w:pPr>
    </w:p>
    <w:p>
      <w:pPr>
        <w:keepNext/>
        <w:spacing w:after="100" w:before="200"/>
        <w:outlineLvl w:val="1"/>
      </w:pPr>
      <w:r>
        <w:rPr>
          <w:rFonts w:ascii="Calibri" w:cs="Calibri" w:eastAsia="Calibri" w:hAnsi="Calibri"/>
          <w:b/>
          <w:bCs/>
          <w:color w:val="14161B"/>
          <w:sz w:val="21"/>
          <w:szCs w:val="21"/>
        </w:rPr>
        <w:t xml:space="preserve">6. Cascade and verification</w:t>
      </w:r>
    </w:p>
    <w:p>
      <w:pPr>
        <w:pStyle w:val="ListParagraph"/>
        <w:numPr>
          <w:ilvl w:val="0"/>
          <w:numId w:val="2"/>
        </w:numPr>
        <w:spacing w:after="80" w:before="20" w:line="276"/>
        <w:jc w:val="both"/>
      </w:pPr>
      <w:r>
        <w:rPr>
          <w:rFonts w:ascii="Calibri" w:cs="Calibri" w:eastAsia="Calibri" w:hAnsi="Calibri"/>
          <w:sz w:val="21"/>
          <w:szCs w:val="21"/>
        </w:rPr>
        <w:t xml:space="preserve">The Vendor shall impose equivalent standards on its own sub-suppliers and shall permit verification under Clause 12.</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Framework, not a commitment</w:t>
      </w:r>
    </w:p>
    <w:p>
      <w:pPr>
        <w:spacing w:after="60" w:line="264"/>
        <w:jc w:val="both"/>
      </w:pPr>
      <w:r>
        <w:rPr>
          <w:rFonts w:ascii="Calibri" w:cs="Calibri" w:eastAsia="Calibri" w:hAnsi="Calibri"/>
          <w:sz w:val="19"/>
          <w:szCs w:val="19"/>
        </w:rPr>
        <w:t xml:space="preserve">Clause 2.1 makes clear the Buyer commits to nothing until a PO is issued. If you intend a minimum volume or exclusivity, that must be added expressly — and if you do add it, revisit Clause 14.2 so a force majeure event does not leave you in breach of your own minimum.</w:t>
      </w:r>
    </w:p>
    <w:p>
      <w:pPr>
        <w:keepNext/>
        <w:spacing w:after="40" w:before="140"/>
      </w:pPr>
      <w:r>
        <w:rPr>
          <w:rFonts w:ascii="Calibri" w:cs="Calibri" w:eastAsia="Calibri" w:hAnsi="Calibri"/>
          <w:b/>
          <w:bCs/>
          <w:color w:val="14161B"/>
          <w:sz w:val="20"/>
          <w:szCs w:val="20"/>
        </w:rPr>
        <w:t xml:space="preserve">Battle of the forms</w:t>
      </w:r>
    </w:p>
    <w:p>
      <w:pPr>
        <w:spacing w:after="60" w:line="264"/>
        <w:jc w:val="both"/>
      </w:pPr>
      <w:r>
        <w:rPr>
          <w:rFonts w:ascii="Calibri" w:cs="Calibri" w:eastAsia="Calibri" w:hAnsi="Calibri"/>
          <w:sz w:val="19"/>
          <w:szCs w:val="19"/>
        </w:rPr>
        <w:t xml:space="preserve">Clause 2.3 excludes the vendor’s standard terms. This matters: many disputes turn on whose terms attached, and a vendor acknowledgement carrying its own conditions can otherwise displace yours. Keep the clause, and make sure your POs reference this Agreement by date.</w:t>
      </w:r>
    </w:p>
    <w:p>
      <w:pPr>
        <w:keepNext/>
        <w:spacing w:after="40" w:before="140"/>
      </w:pPr>
      <w:r>
        <w:rPr>
          <w:rFonts w:ascii="Calibri" w:cs="Calibri" w:eastAsia="Calibri" w:hAnsi="Calibri"/>
          <w:b/>
          <w:bCs/>
          <w:color w:val="14161B"/>
          <w:sz w:val="20"/>
          <w:szCs w:val="20"/>
        </w:rPr>
        <w:t xml:space="preserve">The GST input tax credit clause</w:t>
      </w:r>
    </w:p>
    <w:p>
      <w:pPr>
        <w:spacing w:after="60" w:line="264"/>
        <w:jc w:val="both"/>
      </w:pPr>
      <w:r>
        <w:rPr>
          <w:rFonts w:ascii="Calibri" w:cs="Calibri" w:eastAsia="Calibri" w:hAnsi="Calibri"/>
          <w:sz w:val="19"/>
          <w:szCs w:val="19"/>
        </w:rPr>
        <w:t xml:space="preserve">Clause 6.6 is the most commercially valuable clause in this document for a buyer. Input tax credit depends on the supplier actually reporting and paying; if the supplier does not, the credit can be denied or reversed with interest, and the loss sits with the buyer unless the contract shifts it. Do not delete it.</w:t>
      </w:r>
    </w:p>
    <w:p>
      <w:pPr>
        <w:keepNext/>
        <w:spacing w:after="40" w:before="140"/>
      </w:pPr>
      <w:r>
        <w:rPr>
          <w:rFonts w:ascii="Calibri" w:cs="Calibri" w:eastAsia="Calibri" w:hAnsi="Calibri"/>
          <w:b/>
          <w:bCs/>
          <w:color w:val="14161B"/>
          <w:sz w:val="20"/>
          <w:szCs w:val="20"/>
        </w:rPr>
        <w:t xml:space="preserve">MSME payment timelines</w:t>
      </w:r>
    </w:p>
    <w:p>
      <w:pPr>
        <w:spacing w:after="60" w:line="264"/>
        <w:jc w:val="both"/>
      </w:pPr>
      <w:r>
        <w:rPr>
          <w:rFonts w:ascii="Calibri" w:cs="Calibri" w:eastAsia="Calibri" w:hAnsi="Calibri"/>
          <w:sz w:val="19"/>
          <w:szCs w:val="19"/>
        </w:rPr>
        <w:t xml:space="preserve">Where the vendor is a registered micro or small enterprise, the payment period is capped by Section 15 of the MSMED Act, 2006 and cannot be extended by contract; Section 16 imposes compound interest on delay. There are also adverse income-tax consequences for the buyer on delayed payment to such enterprises. Clause 6.4 exists so you know the vendor’s status — collect the Udyam number at onboarding, not at payment time.</w:t>
      </w:r>
    </w:p>
    <w:p>
      <w:pPr>
        <w:keepNext/>
        <w:spacing w:after="40" w:before="140"/>
      </w:pPr>
      <w:r>
        <w:rPr>
          <w:rFonts w:ascii="Calibri" w:cs="Calibri" w:eastAsia="Calibri" w:hAnsi="Calibri"/>
          <w:b/>
          <w:bCs/>
          <w:color w:val="14161B"/>
          <w:sz w:val="20"/>
          <w:szCs w:val="20"/>
        </w:rPr>
        <w:t xml:space="preserve">Labour Code compliance for on-site vendors</w:t>
      </w:r>
    </w:p>
    <w:p>
      <w:pPr>
        <w:spacing w:after="60" w:line="264"/>
        <w:jc w:val="both"/>
      </w:pPr>
      <w:r>
        <w:rPr>
          <w:rFonts w:ascii="Calibri" w:cs="Calibri" w:eastAsia="Calibri" w:hAnsi="Calibri"/>
          <w:sz w:val="19"/>
          <w:szCs w:val="19"/>
        </w:rPr>
        <w:t xml:space="preserve">Where vendor personnel work at your premises, principal-employer exposure is real. Clause 7.2 requires monthly evidence of wage and contribution payment before invoices are cleared — enforce it in practice, because that documentation is what protects you if the authorities come to you for the vendor’s arrears. Note the fifty-per-cent wage-base rule and the doubled overtime rate under the Codes; contract labour rate cards built on the old assumptions are usually understated.</w:t>
      </w:r>
    </w:p>
    <w:p>
      <w:pPr>
        <w:keepNext/>
        <w:spacing w:after="40" w:before="140"/>
      </w:pPr>
      <w:r>
        <w:rPr>
          <w:rFonts w:ascii="Calibri" w:cs="Calibri" w:eastAsia="Calibri" w:hAnsi="Calibri"/>
          <w:b/>
          <w:bCs/>
          <w:color w:val="14161B"/>
          <w:sz w:val="20"/>
          <w:szCs w:val="20"/>
        </w:rPr>
        <w:t xml:space="preserve">Wide tables in landscape</w:t>
      </w:r>
    </w:p>
    <w:p>
      <w:pPr>
        <w:spacing w:after="60" w:line="264"/>
        <w:jc w:val="both"/>
      </w:pPr>
      <w:r>
        <w:rPr>
          <w:rFonts w:ascii="Calibri" w:cs="Calibri" w:eastAsia="Calibri" w:hAnsi="Calibri"/>
          <w:sz w:val="19"/>
          <w:szCs w:val="19"/>
        </w:rPr>
        <w:t xml:space="preserve">Schedule 1 (eight columns) is set in landscape so that HSN codes, units and prices remain readable at full size. Add rows rather than shrinking the font. If your item master runs to dozens of lines, attach it as a separate annexure referenced from Schedule 1 rather than compressing the table.</w:t>
      </w:r>
    </w:p>
    <w:p>
      <w:pPr>
        <w:keepNext/>
        <w:spacing w:after="40" w:before="140"/>
      </w:pPr>
      <w:r>
        <w:rPr>
          <w:rFonts w:ascii="Calibri" w:cs="Calibri" w:eastAsia="Calibri" w:hAnsi="Calibri"/>
          <w:b/>
          <w:bCs/>
          <w:color w:val="14161B"/>
          <w:sz w:val="20"/>
          <w:szCs w:val="20"/>
        </w:rPr>
        <w:t xml:space="preserve">Tooling</w:t>
      </w:r>
    </w:p>
    <w:p>
      <w:pPr>
        <w:spacing w:after="60" w:line="264"/>
        <w:jc w:val="both"/>
      </w:pPr>
      <w:r>
        <w:rPr>
          <w:rFonts w:ascii="Calibri" w:cs="Calibri" w:eastAsia="Calibri" w:hAnsi="Calibri"/>
          <w:sz w:val="19"/>
          <w:szCs w:val="19"/>
        </w:rPr>
        <w:t xml:space="preserve">Clause 9.2 is often overlooked and frequently disputed on exit. If you pay for tooling, mark it, list it in the PO, and inspect it periodically. Recovering unmarked tooling from a vendor in financial distress is difficult.</w:t>
      </w:r>
    </w:p>
    <w:p>
      <w:pPr>
        <w:keepNext/>
        <w:spacing w:after="40" w:before="140"/>
      </w:pPr>
      <w:r>
        <w:rPr>
          <w:rFonts w:ascii="Calibri" w:cs="Calibri" w:eastAsia="Calibri" w:hAnsi="Calibri"/>
          <w:b/>
          <w:bCs/>
          <w:color w:val="14161B"/>
          <w:sz w:val="20"/>
          <w:szCs w:val="20"/>
        </w:rPr>
        <w:t xml:space="preserve">Title on advance payment</w:t>
      </w:r>
    </w:p>
    <w:p>
      <w:pPr>
        <w:spacing w:after="60" w:line="264"/>
        <w:jc w:val="both"/>
      </w:pPr>
      <w:r>
        <w:rPr>
          <w:rFonts w:ascii="Calibri" w:cs="Calibri" w:eastAsia="Calibri" w:hAnsi="Calibri"/>
          <w:sz w:val="19"/>
          <w:szCs w:val="19"/>
        </w:rPr>
        <w:t xml:space="preserve">Clause 4.4 passes title on advance payment and makes the vendor a bailee. This is meaningful protection in an insolvency, but only if the goods are actually segregated and identified. Where advances are large, insist on physical segregation and periodic confirmation.</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A vendor agreement is generally stamped as an agreement; some States levy ad valorem duty where a value is stated. Duty is payable in the State of execution and rates vary. Confirm before signing.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Verify your State’s position under the Labour Code rules, which are still being notified State by State.</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2026-08-21T12:53:52.658Z</dcterms:created>
  <dcterms:modified xsi:type="dcterms:W3CDTF">2026-08-21T12:53:52.658Z</dcterms:modified>
</cp:coreProperties>
</file>

<file path=docProps/custom.xml><?xml version="1.0" encoding="utf-8"?>
<Properties xmlns="http://schemas.openxmlformats.org/officeDocument/2006/custom-properties" xmlns:vt="http://schemas.openxmlformats.org/officeDocument/2006/docPropsVTypes"/>
</file>