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VALUATION REPORT</w:t>
      </w:r>
    </w:p>
    <w:p>
      <w:pPr>
        <w:spacing w:after="260"/>
        <w:jc w:val="center"/>
      </w:pPr>
      <w:r>
        <w:rPr>
          <w:rFonts w:ascii="Calibri" w:cs="Calibri" w:eastAsia="Calibri" w:hAnsi="Calibri"/>
          <w:i/>
          <w:iCs/>
          <w:color w:val="6E7480"/>
          <w:sz w:val="19"/>
          <w:szCs w:val="19"/>
        </w:rPr>
        <w:t xml:space="preserve">Fair value of the equity shares of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valuation is an opinion supported by a method, not a number. State the standard of value, the premise, the date, and every material assumption — a report whose conclusion cannot be traced back through its own workings will not survive scrutiny.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 addressed to</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of Directors, </w:t>
            </w:r>
            <w:r>
              <w:rPr>
                <w:rFonts w:ascii="Calibri" w:cs="Calibri" w:eastAsia="Calibri" w:hAnsi="Calibri"/>
                <w:b/>
                <w:bCs/>
                <w:sz w:val="19"/>
                <w:szCs w:val="19"/>
              </w:rPr>
              <w:t xml:space="preserve">[COMPANY 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Subject of valuation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[Equity shares of face value ₹ ______ each / compulsorily convertible preference shares]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Preferential allotment under Section 62(1)(c) of the Companies Act, 2013 / determination of fair market value for the purposes of the exchange control pricing guidelines / issue of employee stock options]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date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 date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[Registered Valuer (Securities or Financial Assets) / Chartered Accountant / SEBI-registered Merchant Banker]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number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[IBBI / ICAI / SEBI REGISTRATION NUMBER]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applied</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[ICAI Valuation Standards / internationally accepted pricing methodology on an arm’s length basis]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 of value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Going concern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of value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Fair value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Conclusion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w:t>
            </w:r>
            <w:r>
              <w:rPr>
                <w:rFonts w:ascii="Calibri" w:cs="Calibri" w:eastAsia="Calibri" w:hAnsi="Calibri"/>
                <w:b/>
                <w:bCs/>
                <w:sz w:val="19"/>
                <w:szCs w:val="19"/>
              </w:rPr>
              <w:t xml:space="preserve">[VALUE]</w:t>
            </w:r>
            <w:r>
              <w:rPr>
                <w:rFonts w:ascii="Calibri" w:cs="Calibri" w:eastAsia="Calibri" w:hAnsi="Calibri"/>
                <w:b/>
                <w:bCs/>
                <w:sz w:val="19"/>
                <w:szCs w:val="19"/>
              </w:rPr>
              <w:t xml:space="preserve"> per </w:t>
            </w:r>
            <w:r>
              <w:rPr>
                <w:rFonts w:ascii="Calibri" w:cs="Calibri" w:eastAsia="Calibri" w:hAnsi="Calibri"/>
                <w:b/>
                <w:bCs/>
                <w:sz w:val="19"/>
                <w:szCs w:val="19"/>
              </w:rPr>
              <w:t xml:space="preserve">[share]</w:t>
            </w:r>
          </w:p>
        </w:tc>
      </w:tr>
    </w:tbl>
    <w:p>
      <w:pPr>
        <w:spacing w:after="200"/>
      </w:pPr>
    </w:p>
    <w:p>
      <w:pPr>
        <w:keepNext/>
        <w:spacing w:after="120" w:before="280"/>
        <w:outlineLvl w:val="0"/>
      </w:pPr>
      <w:r>
        <w:rPr>
          <w:rFonts w:ascii="Calibri" w:cs="Calibri" w:eastAsia="Calibri" w:hAnsi="Calibri"/>
          <w:b/>
          <w:bCs/>
          <w:color w:val="14161B"/>
          <w:sz w:val="22"/>
          <w:szCs w:val="22"/>
        </w:rPr>
        <w:t xml:space="preserve">1. INSTRUCTIONS AND PURPOSE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We have been instructed by </w:t>
      </w:r>
      <w:r>
        <w:rPr>
          <w:rFonts w:ascii="Calibri" w:cs="Calibri" w:eastAsia="Calibri" w:hAnsi="Calibri"/>
          <w:b/>
          <w:bCs/>
          <w:sz w:val="21"/>
          <w:szCs w:val="21"/>
        </w:rPr>
        <w:t xml:space="preserve">[COMPANY NAME]</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to determine the fair value of its </w:t>
      </w:r>
      <w:r>
        <w:rPr>
          <w:rFonts w:ascii="Calibri" w:cs="Calibri" w:eastAsia="Calibri" w:hAnsi="Calibri"/>
          <w:b/>
          <w:bCs/>
          <w:sz w:val="21"/>
          <w:szCs w:val="21"/>
        </w:rPr>
        <w:t xml:space="preserve">[equity shares]</w:t>
      </w:r>
      <w:r>
        <w:rPr>
          <w:rFonts w:ascii="Calibri" w:cs="Calibri" w:eastAsia="Calibri" w:hAnsi="Calibri"/>
          <w:sz w:val="21"/>
          <w:szCs w:val="21"/>
        </w:rPr>
        <w:t xml:space="preserve"> as at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Valuation Date</w:t>
      </w:r>
      <w:r>
        <w:rPr>
          <w:rFonts w:ascii="Calibri" w:cs="Calibri" w:eastAsia="Calibri" w:hAnsi="Calibri"/>
          <w:sz w:val="21"/>
          <w:szCs w:val="21"/>
        </w:rPr>
        <w:t xml:space="preserve">") for the purpose stated above.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report has been prepared solely for that purpose and for the addressee. It is not to be used, circulated, quoted or relied on for any other purpose or by any other person, and we accept no responsibility to any other person, without our prior written consent. In particular, this report is not a fairness opinion, is not investment advice, and does not constitute a recommendation to any person to buy, sell or hold any security.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this report is required to be filed with, or produced to, any authority, it may be so produced without further consent, on the basis that our responsibility remains limited as stated in this Section and in Section 6.</w:t>
      </w:r>
    </w:p>
    <w:p>
      <w:pPr>
        <w:keepNext/>
        <w:spacing w:after="120" w:before="280"/>
        <w:outlineLvl w:val="0"/>
      </w:pPr>
      <w:r>
        <w:rPr>
          <w:rFonts w:ascii="Calibri" w:cs="Calibri" w:eastAsia="Calibri" w:hAnsi="Calibri"/>
          <w:b/>
          <w:bCs/>
          <w:color w:val="14161B"/>
          <w:sz w:val="22"/>
          <w:szCs w:val="22"/>
        </w:rPr>
        <w:t xml:space="preserve">2. SCOPE, SOURCES AND PROCEDURES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We have relied on the information listed in Annexure A, comprising the audited financial statements for the </w:t>
      </w:r>
      <w:r>
        <w:rPr>
          <w:rFonts w:ascii="Calibri" w:cs="Calibri" w:eastAsia="Calibri" w:hAnsi="Calibri"/>
          <w:b/>
          <w:bCs/>
          <w:sz w:val="21"/>
          <w:szCs w:val="21"/>
        </w:rPr>
        <w:t xml:space="preserve">[3]</w:t>
      </w:r>
      <w:r>
        <w:rPr>
          <w:rFonts w:ascii="Calibri" w:cs="Calibri" w:eastAsia="Calibri" w:hAnsi="Calibri"/>
          <w:sz w:val="21"/>
          <w:szCs w:val="21"/>
        </w:rPr>
        <w:t xml:space="preserve"> financial years ended </w:t>
      </w:r>
      <w:r>
        <w:rPr>
          <w:rFonts w:ascii="Calibri" w:cs="Calibri" w:eastAsia="Calibri" w:hAnsi="Calibri"/>
          <w:b/>
          <w:bCs/>
          <w:sz w:val="21"/>
          <w:szCs w:val="21"/>
        </w:rPr>
        <w:t xml:space="preserve">[DATE]</w:t>
      </w:r>
      <w:r>
        <w:rPr>
          <w:rFonts w:ascii="Calibri" w:cs="Calibri" w:eastAsia="Calibri" w:hAnsi="Calibri"/>
          <w:sz w:val="21"/>
          <w:szCs w:val="21"/>
        </w:rPr>
        <w:t xml:space="preserve">, the management accounts to </w:t>
      </w:r>
      <w:r>
        <w:rPr>
          <w:rFonts w:ascii="Calibri" w:cs="Calibri" w:eastAsia="Calibri" w:hAnsi="Calibri"/>
          <w:b/>
          <w:bCs/>
          <w:sz w:val="21"/>
          <w:szCs w:val="21"/>
        </w:rPr>
        <w:t xml:space="preserve">[DATE]</w:t>
      </w:r>
      <w:r>
        <w:rPr>
          <w:rFonts w:ascii="Calibri" w:cs="Calibri" w:eastAsia="Calibri" w:hAnsi="Calibri"/>
          <w:sz w:val="21"/>
          <w:szCs w:val="21"/>
        </w:rPr>
        <w:t xml:space="preserve">, the projections prepared by management for the </w:t>
      </w:r>
      <w:r>
        <w:rPr>
          <w:rFonts w:ascii="Calibri" w:cs="Calibri" w:eastAsia="Calibri" w:hAnsi="Calibri"/>
          <w:b/>
          <w:bCs/>
          <w:sz w:val="21"/>
          <w:szCs w:val="21"/>
        </w:rPr>
        <w:t xml:space="preserve">[5]</w:t>
      </w:r>
      <w:r>
        <w:rPr>
          <w:rFonts w:ascii="Calibri" w:cs="Calibri" w:eastAsia="Calibri" w:hAnsi="Calibri"/>
          <w:sz w:val="21"/>
          <w:szCs w:val="21"/>
        </w:rPr>
        <w:t xml:space="preserve"> years ending </w:t>
      </w:r>
      <w:r>
        <w:rPr>
          <w:rFonts w:ascii="Calibri" w:cs="Calibri" w:eastAsia="Calibri" w:hAnsi="Calibri"/>
          <w:b/>
          <w:bCs/>
          <w:sz w:val="21"/>
          <w:szCs w:val="21"/>
        </w:rPr>
        <w:t xml:space="preserve">[DATE]</w:t>
      </w:r>
      <w:r>
        <w:rPr>
          <w:rFonts w:ascii="Calibri" w:cs="Calibri" w:eastAsia="Calibri" w:hAnsi="Calibri"/>
          <w:sz w:val="21"/>
          <w:szCs w:val="21"/>
        </w:rPr>
        <w:t xml:space="preserve">, the capitalisation table, the constitutional documents, the terms of every class of security outstanding, and the discussions with management recorded in Annexure B.</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projections have been prepared by management and are their sole responsibility. We have reviewed them for internal consistency and for consistency with historical performance and with management’s stated assumptions, and have discussed them with management, but we have not audited them and express no opinion on whether they will be achieved. Actual results will differ from projections and the differences may be material.</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We have not carried out an audit, a review, or any verification of the information provided, and have assumed it to be true, complete and not misleading. We have not carried out a physical verification of assets, a title search, a technical assessment, or a legal or tax due diligence, and we have relied on management’s representations as to title, litigation, contingent liabilities and regulatory compliance.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We have assumed that the Company will continue as a going concern, that there is no undisclosed contingent liability, encumbrance or litigation that would materially affect value, and that all licences and approvals necessary to the business are and will remain in force.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This report reflects circumstances and information available as at the Valuation Date. Events after that date have not been considered and we assume no obligation to update this report.</w:t>
      </w:r>
    </w:p>
    <w:p>
      <w:pPr>
        <w:keepNext/>
        <w:spacing w:after="120" w:before="280"/>
        <w:outlineLvl w:val="0"/>
      </w:pPr>
      <w:r>
        <w:rPr>
          <w:rFonts w:ascii="Calibri" w:cs="Calibri" w:eastAsia="Calibri" w:hAnsi="Calibri"/>
          <w:b/>
          <w:bCs/>
          <w:color w:val="14161B"/>
          <w:sz w:val="22"/>
          <w:szCs w:val="22"/>
        </w:rPr>
        <w:t xml:space="preserve">3. THE COMPANY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Background.</w:t>
      </w:r>
      <w:r>
        <w:rPr>
          <w:rFonts w:ascii="Calibri" w:cs="Calibri" w:eastAsia="Calibri" w:hAnsi="Calibri"/>
          <w:sz w:val="21"/>
          <w:szCs w:val="21"/>
        </w:rPr>
        <w:t xml:space="preserve"> </w:t>
      </w:r>
      <w:r>
        <w:rPr>
          <w:rFonts w:ascii="Calibri" w:cs="Calibri" w:eastAsia="Calibri" w:hAnsi="Calibri"/>
          <w:b/>
          <w:bCs/>
          <w:sz w:val="21"/>
          <w:szCs w:val="21"/>
        </w:rPr>
        <w:t xml:space="preserve">[DESCRIBE the business, the products or services, the markets served, the customer base, and the operating history.]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Capital structure.</w:t>
      </w:r>
      <w:r>
        <w:rPr>
          <w:rFonts w:ascii="Calibri" w:cs="Calibri" w:eastAsia="Calibri" w:hAnsi="Calibri"/>
          <w:sz w:val="21"/>
          <w:szCs w:val="21"/>
        </w:rPr>
        <w:t xml:space="preserve"> The issued and paid-up capital as at the Valuation Date is set out below. The rights attaching to each class, including any liquidation preference, participation right, dividend entitlement and conversion ratio, are summarised in Annexure C and have been taken into account in allocating value between classes.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445"/>
        <w:gridCol w:w="1252"/>
        <w:gridCol w:w="1349"/>
        <w:gridCol w:w="1349"/>
        <w:gridCol w:w="1352"/>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 of security</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Face value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Paid-up (₹)</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Conversion ratio</w:t>
            </w:r>
          </w:p>
        </w:tc>
        <w:tc>
          <w:tcPr>
            <w:tcW w:type="dxa" w:w="13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fully diluted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shares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[FV]</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w:t>
            </w: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A]</w:t>
            </w:r>
            <w:r>
              <w:rPr>
                <w:rFonts w:ascii="Calibri" w:cs="Calibri" w:eastAsia="Calibri" w:hAnsi="Calibri"/>
                <w:sz w:val="19"/>
                <w:szCs w:val="19"/>
              </w:rPr>
              <w:t xml:space="preserve"> CCPS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[FV]</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[1:1]</w:t>
            </w: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B]</w:t>
            </w:r>
            <w:r>
              <w:rPr>
                <w:rFonts w:ascii="Calibri" w:cs="Calibri" w:eastAsia="Calibri" w:hAnsi="Calibri"/>
                <w:sz w:val="19"/>
                <w:szCs w:val="19"/>
              </w:rPr>
              <w:t xml:space="preserve"> CCPS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[FV]</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[1:1]</w:t>
            </w: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granted and outstanding</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1:1</w:t>
            </w: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reserved and unallocated</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1:1</w:t>
            </w: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(fully diluted)</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center"/>
            </w:pPr>
          </w:p>
        </w:tc>
        <w:tc>
          <w:tcPr>
            <w:tcW w:type="dxa" w:w="13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r>
    </w:tbl>
    <w:p>
      <w:pPr>
        <w:spacing w:after="140"/>
      </w:pP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Financial summary.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445"/>
        <w:gridCol w:w="1445"/>
        <w:gridCol w:w="1445"/>
        <w:gridCol w:w="1448"/>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in lakh</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[Y-3]</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[Y-2]</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[Y-1]</w:t>
            </w:r>
          </w:p>
        </w:tc>
        <w:tc>
          <w:tcPr>
            <w:tcW w:type="dxa" w:w="144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Stub to </w:t>
            </w: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Revenue from operations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Gross profit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Earnings before interest, tax, depreciation and amortisation</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Profit / (loss) before tax</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worth</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Cash and cash equivalents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borrowings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keepNext/>
        <w:spacing w:after="120" w:before="280"/>
        <w:outlineLvl w:val="0"/>
      </w:pPr>
      <w:r>
        <w:rPr>
          <w:rFonts w:ascii="Calibri" w:cs="Calibri" w:eastAsia="Calibri" w:hAnsi="Calibri"/>
          <w:b/>
          <w:bCs/>
          <w:color w:val="14161B"/>
          <w:sz w:val="22"/>
          <w:szCs w:val="22"/>
        </w:rPr>
        <w:t xml:space="preserve">4. APPROACH AND METHODOLOGY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three recognised approaches to valuation are the income approach, the market approach and the cost or asset approach. We have considered each and have applied those set out below, having regard to the stage of the Company, the reliability of its projections, the availability of comparable data, and the purpose of the valuation.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156"/>
        <w:gridCol w:w="2891"/>
        <w:gridCol w:w="963"/>
        <w:gridCol w:w="4628"/>
      </w:tblGrid>
      <w:tr>
        <w:trPr>
          <w:tblHeader/>
        </w:trPr>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Approach</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Method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Applied</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Reason</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Income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Discounted cash flow</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Applied — management has prepared projections with a reasonable basis and the business has an established revenue history]</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Market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Comparable companies multiple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Applied as a cross-check — listed comparables differ materially in scale]</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Market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Comparable transaction multiple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Applied — recent transactions in the sector provide observable multiples]</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Market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 of a recent arm’s length transaction in the Company’s own securities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Applied — the Series ______ round closed on ______ at arm’s length]</w:t>
            </w:r>
          </w:p>
        </w:tc>
      </w:tr>
      <w:tr>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Cost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asset value / replacement cost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Not applied — the Company’s value derives from intangibles not carried on the balance sheet]</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more than one method has been applied, the results have been reconciled in Section 5 with the weightings stated and the reason for each weighting.</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5. VALUATION WORKINGS</w:t>
      </w:r>
    </w:p>
    <w:p>
      <w:pPr>
        <w:spacing w:after="260"/>
        <w:jc w:val="center"/>
      </w:pPr>
      <w:r>
        <w:rPr>
          <w:rFonts w:ascii="Calibri" w:cs="Calibri" w:eastAsia="Calibri" w:hAnsi="Calibri"/>
          <w:i/>
          <w:iCs/>
          <w:color w:val="6E7480"/>
          <w:sz w:val="19"/>
          <w:szCs w:val="19"/>
        </w:rPr>
        <w:t xml:space="preserve">Discounted cash flow, market cross-check and reconciliation</w:t>
      </w:r>
    </w:p>
    <w:p>
      <w:pPr>
        <w:keepNext/>
        <w:spacing w:after="100" w:before="200"/>
        <w:outlineLvl w:val="1"/>
      </w:pPr>
      <w:r>
        <w:rPr>
          <w:rFonts w:ascii="Calibri" w:cs="Calibri" w:eastAsia="Calibri" w:hAnsi="Calibri"/>
          <w:b/>
          <w:bCs/>
          <w:color w:val="14161B"/>
          <w:sz w:val="21"/>
          <w:szCs w:val="21"/>
        </w:rPr>
        <w:t xml:space="preserve">5.1 Free cash flow projection</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1"/>
        <w:gridCol w:w="1804"/>
        <w:gridCol w:w="1804"/>
        <w:gridCol w:w="1804"/>
        <w:gridCol w:w="1804"/>
        <w:gridCol w:w="1654"/>
        <w:gridCol w:w="1657"/>
      </w:tblGrid>
      <w:tr>
        <w:trPr>
          <w:tblHeader/>
        </w:trPr>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 in lakh</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FY </w:t>
            </w:r>
            <w:r>
              <w:rPr>
                <w:rFonts w:ascii="Calibri" w:cs="Calibri" w:eastAsia="Calibri" w:hAnsi="Calibri"/>
                <w:b/>
                <w:bCs/>
                <w:sz w:val="17"/>
                <w:szCs w:val="17"/>
              </w:rPr>
              <w:t xml:space="preserve">[Y+1]</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FY </w:t>
            </w:r>
            <w:r>
              <w:rPr>
                <w:rFonts w:ascii="Calibri" w:cs="Calibri" w:eastAsia="Calibri" w:hAnsi="Calibri"/>
                <w:b/>
                <w:bCs/>
                <w:sz w:val="17"/>
                <w:szCs w:val="17"/>
              </w:rPr>
              <w:t xml:space="preserve">[Y+2]</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FY </w:t>
            </w:r>
            <w:r>
              <w:rPr>
                <w:rFonts w:ascii="Calibri" w:cs="Calibri" w:eastAsia="Calibri" w:hAnsi="Calibri"/>
                <w:b/>
                <w:bCs/>
                <w:sz w:val="17"/>
                <w:szCs w:val="17"/>
              </w:rPr>
              <w:t xml:space="preserve">[Y+3]</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FY </w:t>
            </w:r>
            <w:r>
              <w:rPr>
                <w:rFonts w:ascii="Calibri" w:cs="Calibri" w:eastAsia="Calibri" w:hAnsi="Calibri"/>
                <w:b/>
                <w:bCs/>
                <w:sz w:val="17"/>
                <w:szCs w:val="17"/>
              </w:rPr>
              <w:t xml:space="preserve">[Y+4]</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FY </w:t>
            </w:r>
            <w:r>
              <w:rPr>
                <w:rFonts w:ascii="Calibri" w:cs="Calibri" w:eastAsia="Calibri" w:hAnsi="Calibri"/>
                <w:b/>
                <w:bCs/>
                <w:sz w:val="17"/>
                <w:szCs w:val="17"/>
              </w:rPr>
              <w:t xml:space="preserve">[Y+5]</w:t>
            </w:r>
          </w:p>
        </w:tc>
        <w:tc>
          <w:tcPr>
            <w:tcW w:type="dxa" w:w="165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Terminal</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Revenue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Growth rate (%)</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Earnings before interest, tax, depreciation and amortisation</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Margin (%)</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depreciation and amortisation</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Earnings before interest and tax</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tax at </w:t>
            </w:r>
            <w:r>
              <w:rPr>
                <w:rFonts w:ascii="Calibri" w:cs="Calibri" w:eastAsia="Calibri" w:hAnsi="Calibri"/>
                <w:b/>
                <w:bCs/>
                <w:sz w:val="17"/>
                <w:szCs w:val="17"/>
              </w:rPr>
              <w:t xml:space="preserve">[RATE]</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Net operating profit after tax</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depreciation and amortisation</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capital expenditure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increase in working capital</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cash flow to the firm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Discount period (years, mid-year convention)</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[0.5]</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[1.5]</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[2.5]</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[3.5]</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[4.5]</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[4.5]</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Discount factor at </w:t>
            </w:r>
            <w:r>
              <w:rPr>
                <w:rFonts w:ascii="Calibri" w:cs="Calibri" w:eastAsia="Calibri" w:hAnsi="Calibri"/>
                <w:b/>
                <w:bCs/>
                <w:sz w:val="17"/>
                <w:szCs w:val="17"/>
              </w:rPr>
              <w:t xml:space="preserve">[WACC]</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[FACTOR]</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Present value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5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60"/>
      </w:pPr>
    </w:p>
    <w:p>
      <w:pPr>
        <w:keepNext/>
        <w:spacing w:after="100" w:before="200"/>
        <w:outlineLvl w:val="1"/>
      </w:pPr>
      <w:r>
        <w:rPr>
          <w:rFonts w:ascii="Calibri" w:cs="Calibri" w:eastAsia="Calibri" w:hAnsi="Calibri"/>
          <w:b/>
          <w:bCs/>
          <w:color w:val="14161B"/>
          <w:sz w:val="21"/>
          <w:szCs w:val="21"/>
        </w:rPr>
        <w:t xml:space="preserve">5.2 Discount rate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734"/>
        <w:gridCol w:w="4628"/>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Component</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 or basis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Risk-free rate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[Yield on the ______ year government security as at the Valuation 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risk premium</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Beta (unlevered)</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[Median unlevered beta of the comparable set at Annexure 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Beta (relevered)</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[Relevered at the target capital structure of ______ per cent debt]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Size premium</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Company-specific risk premium</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 — e.g. customer concentration, key person dependency, limited operating history; each factor must be identified, not asserted]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Cost of equity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Cost of debt (post-tax)</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[Weighted average borrowing rate, tax-effected at ______ per cent]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capital structure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[DEBT]</w:t>
            </w:r>
            <w:r>
              <w:rPr>
                <w:rFonts w:ascii="Calibri" w:cs="Calibri" w:eastAsia="Calibri" w:hAnsi="Calibri"/>
                <w:sz w:val="19"/>
                <w:szCs w:val="19"/>
              </w:rPr>
              <w:t xml:space="preserve">% / </w:t>
            </w:r>
            <w:r>
              <w:rPr>
                <w:rFonts w:ascii="Calibri" w:cs="Calibri" w:eastAsia="Calibri" w:hAnsi="Calibri"/>
                <w:b/>
                <w:bCs/>
                <w:sz w:val="19"/>
                <w:szCs w:val="19"/>
              </w:rPr>
              <w:t xml:space="preserve">[EQUITY]</w:t>
            </w:r>
            <w:r>
              <w:rPr>
                <w:rFonts w:ascii="Calibri" w:cs="Calibri" w:eastAsia="Calibri" w:hAnsi="Calibri"/>
                <w:sz w:val="19"/>
                <w:szCs w:val="19"/>
              </w:rPr>
              <w:t xml:space="preserv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Weighted average cost of capital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4628"/>
            <w:tcMar>
              <w:top w:type="dxa" w:w="70"/>
              <w:left w:type="dxa" w:w="100"/>
              <w:bottom w:type="dxa" w:w="70"/>
              <w:right w:type="dxa" w:w="100"/>
            </w:tcMar>
            <w:vAlign w:val="center"/>
          </w:tcPr>
          <w:p>
            <w:pPr>
              <w:spacing w:after="0" w:line="240"/>
              <w:jc w:val="left"/>
            </w:pPr>
          </w:p>
        </w:tc>
      </w:tr>
    </w:tbl>
    <w:p>
      <w:pPr>
        <w:spacing w:after="160"/>
      </w:pPr>
    </w:p>
    <w:p>
      <w:pPr>
        <w:keepNext/>
        <w:spacing w:after="100" w:before="200"/>
        <w:outlineLvl w:val="1"/>
      </w:pPr>
      <w:r>
        <w:rPr>
          <w:rFonts w:ascii="Calibri" w:cs="Calibri" w:eastAsia="Calibri" w:hAnsi="Calibri"/>
          <w:b/>
          <w:bCs/>
          <w:color w:val="14161B"/>
          <w:sz w:val="21"/>
          <w:szCs w:val="21"/>
        </w:rPr>
        <w:t xml:space="preserve">5.3 Terminal value and enterprise value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927"/>
        <w:gridCol w:w="3856"/>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in lakh</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Terminal value method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[Gordon growth / exit multiple]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[Terminal growth rate of ______ per cent, not exceeding long-run nominal growth]</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Terminal value at the end of the projection period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Present value of the terminal value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[Terminal value as a percentage of enterprise value: ______ per cent]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Present value of the explicit period cash flows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Enterprise value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 surplus cash and non-operating assets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borrowings and debt-like items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[Include lease liabilities, deferred consideration and unfunded terminal benefit obligations]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Equity value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856"/>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on a fully diluted basis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[Treasury stock method applied to options with an exercise price below the indicated value]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Value per share (income approach)</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[VALUE]</w:t>
            </w:r>
          </w:p>
        </w:tc>
        <w:tc>
          <w:tcPr>
            <w:tcW w:type="dxa" w:w="3856"/>
            <w:tcMar>
              <w:top w:type="dxa" w:w="70"/>
              <w:left w:type="dxa" w:w="100"/>
              <w:bottom w:type="dxa" w:w="70"/>
              <w:right w:type="dxa" w:w="100"/>
            </w:tcMar>
            <w:vAlign w:val="center"/>
          </w:tcPr>
          <w:p>
            <w:pPr>
              <w:spacing w:after="0" w:line="240"/>
              <w:jc w:val="left"/>
            </w:pPr>
          </w:p>
        </w:tc>
      </w:tr>
    </w:tbl>
    <w:p>
      <w:pPr>
        <w:spacing w:after="160"/>
      </w:pPr>
    </w:p>
    <w:p>
      <w:pPr>
        <w:keepNext/>
        <w:spacing w:after="100" w:before="200"/>
        <w:outlineLvl w:val="1"/>
      </w:pPr>
      <w:r>
        <w:rPr>
          <w:rFonts w:ascii="Calibri" w:cs="Calibri" w:eastAsia="Calibri" w:hAnsi="Calibri"/>
          <w:b/>
          <w:bCs/>
          <w:color w:val="14161B"/>
          <w:sz w:val="21"/>
          <w:szCs w:val="21"/>
        </w:rPr>
        <w:t xml:space="preserve">5.4 Market approach cross-check</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734"/>
        <w:gridCol w:w="1445"/>
        <w:gridCol w:w="1445"/>
        <w:gridCol w:w="2123"/>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Comparable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Revenue multiple</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EBITDA multiple</w:t>
            </w:r>
          </w:p>
        </w:tc>
        <w:tc>
          <w:tcPr>
            <w:tcW w:type="dxa" w:w="21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 and 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[Listed / transaction]</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 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[Listed / transaction]</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 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[Listed / transaction]</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 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Median</w:t>
            </w:r>
          </w:p>
        </w:tc>
        <w:tc>
          <w:tcPr>
            <w:tcW w:type="dxa" w:w="1734"/>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[X.Xx]</w:t>
            </w:r>
          </w:p>
        </w:tc>
        <w:tc>
          <w:tcPr>
            <w:tcW w:type="dxa" w:w="212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 for lack of marketability applied</w:t>
            </w:r>
          </w:p>
        </w:tc>
        <w:tc>
          <w:tcPr>
            <w:tcW w:type="dxa" w:w="1734"/>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 for the discount]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Indicated value per share (market approach)</w:t>
            </w:r>
          </w:p>
        </w:tc>
        <w:tc>
          <w:tcPr>
            <w:tcW w:type="dxa" w:w="1734"/>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[VALUE]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[VALUE]</w:t>
            </w:r>
          </w:p>
        </w:tc>
        <w:tc>
          <w:tcPr>
            <w:tcW w:type="dxa" w:w="2123"/>
            <w:tcMar>
              <w:top w:type="dxa" w:w="70"/>
              <w:left w:type="dxa" w:w="100"/>
              <w:bottom w:type="dxa" w:w="70"/>
              <w:right w:type="dxa" w:w="100"/>
            </w:tcMar>
            <w:vAlign w:val="center"/>
          </w:tcPr>
          <w:p>
            <w:pPr>
              <w:spacing w:after="0" w:line="240"/>
              <w:jc w:val="left"/>
            </w:pPr>
          </w:p>
        </w:tc>
      </w:tr>
    </w:tbl>
    <w:p>
      <w:pPr>
        <w:spacing w:after="160"/>
      </w:pPr>
    </w:p>
    <w:p>
      <w:pPr>
        <w:keepNext/>
        <w:spacing w:after="100" w:before="200"/>
        <w:outlineLvl w:val="1"/>
      </w:pPr>
      <w:r>
        <w:rPr>
          <w:rFonts w:ascii="Calibri" w:cs="Calibri" w:eastAsia="Calibri" w:hAnsi="Calibri"/>
          <w:b/>
          <w:bCs/>
          <w:color w:val="14161B"/>
          <w:sz w:val="21"/>
          <w:szCs w:val="21"/>
        </w:rPr>
        <w:t xml:space="preserve">5.5 Sensitivity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1252"/>
        <w:gridCol w:w="1252"/>
        <w:gridCol w:w="1156"/>
        <w:gridCol w:w="1252"/>
        <w:gridCol w:w="1257"/>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Value per share (₹) — discount rate against terminal growth</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[g-1]</w:t>
            </w:r>
            <w:r>
              <w:rPr>
                <w:rFonts w:ascii="Calibri" w:cs="Calibri" w:eastAsia="Calibri" w:hAnsi="Calibri"/>
                <w:b/>
                <w:bCs/>
                <w:sz w:val="19"/>
                <w:szCs w:val="19"/>
              </w:rPr>
              <w:t xml:space="preserve">%</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[g-0.5]</w:t>
            </w:r>
            <w:r>
              <w:rPr>
                <w:rFonts w:ascii="Calibri" w:cs="Calibri" w:eastAsia="Calibri" w:hAnsi="Calibri"/>
                <w:b/>
                <w:bCs/>
                <w:sz w:val="19"/>
                <w:szCs w:val="19"/>
              </w:rPr>
              <w:t xml:space="preserve">%</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w:t>
            </w:r>
            <w:r>
              <w:rPr>
                <w:rFonts w:ascii="Calibri" w:cs="Calibri" w:eastAsia="Calibri" w:hAnsi="Calibri"/>
                <w:b/>
                <w:bCs/>
                <w:sz w:val="19"/>
                <w:szCs w:val="19"/>
              </w:rPr>
              <w:t xml:space="preserve">%</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[g+0.5]</w:t>
            </w:r>
            <w:r>
              <w:rPr>
                <w:rFonts w:ascii="Calibri" w:cs="Calibri" w:eastAsia="Calibri" w:hAnsi="Calibri"/>
                <w:b/>
                <w:bCs/>
                <w:sz w:val="19"/>
                <w:szCs w:val="19"/>
              </w:rPr>
              <w:t xml:space="preserve">%</w:t>
            </w:r>
          </w:p>
        </w:tc>
        <w:tc>
          <w:tcPr>
            <w:tcW w:type="dxa" w:w="125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[g+1]</w:t>
            </w:r>
            <w:r>
              <w:rPr>
                <w:rFonts w:ascii="Calibri" w:cs="Calibri" w:eastAsia="Calibri" w:hAnsi="Calibri"/>
                <w:b/>
                <w:bCs/>
                <w:sz w:val="19"/>
                <w:szCs w:val="19"/>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[WACC-1]</w:t>
            </w: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[WACC-0.5]</w:t>
            </w: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[WACC]</w:t>
            </w:r>
            <w:r>
              <w:rPr>
                <w:rFonts w:ascii="Calibri" w:cs="Calibri" w:eastAsia="Calibri" w:hAnsi="Calibri"/>
                <w:b/>
                <w:bCs/>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[WACC+0.5]</w:t>
            </w: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[WACC+1]</w:t>
            </w: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bl>
    <w:p>
      <w:pPr>
        <w:spacing w:after="160"/>
      </w:pPr>
    </w:p>
    <w:p>
      <w:pPr>
        <w:keepNext/>
        <w:spacing w:after="100" w:before="200"/>
        <w:outlineLvl w:val="1"/>
      </w:pPr>
      <w:r>
        <w:rPr>
          <w:rFonts w:ascii="Calibri" w:cs="Calibri" w:eastAsia="Calibri" w:hAnsi="Calibri"/>
          <w:b/>
          <w:bCs/>
          <w:color w:val="14161B"/>
          <w:sz w:val="21"/>
          <w:szCs w:val="21"/>
        </w:rPr>
        <w:t xml:space="preserve">5.6 Reconciliation and conclusion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2120"/>
        <w:gridCol w:w="1156"/>
        <w:gridCol w:w="1929"/>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Method</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Indicated value per share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Weight</w:t>
            </w:r>
          </w:p>
        </w:tc>
        <w:tc>
          <w:tcPr>
            <w:tcW w:type="dxa" w:w="192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Weighted value (₹)</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Discounted cash flow</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Comparable companies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Comparable transactions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Recent arm’s length transaction in the Company’s securities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Concluded fair value per share</w:t>
            </w:r>
          </w:p>
        </w:tc>
        <w:tc>
          <w:tcPr>
            <w:tcW w:type="dxa" w:w="2120"/>
            <w:tcMar>
              <w:top w:type="dxa" w:w="70"/>
              <w:left w:type="dxa" w:w="100"/>
              <w:bottom w:type="dxa" w:w="70"/>
              <w:right w:type="dxa" w:w="100"/>
            </w:tcMar>
            <w:vAlign w:val="center"/>
          </w:tcPr>
          <w:p>
            <w:pPr>
              <w:spacing w:after="0" w:line="240"/>
              <w:jc w:val="right"/>
            </w:pP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[VALUE]</w:t>
            </w:r>
          </w:p>
        </w:tc>
      </w:tr>
    </w:tbl>
    <w:p>
      <w:pPr>
        <w:spacing w:after="140"/>
      </w:pPr>
    </w:p>
    <w:p>
      <w:pPr>
        <w:spacing w:after="120" w:before="0" w:line="276"/>
        <w:jc w:val="both"/>
      </w:pPr>
      <w:r>
        <w:rPr>
          <w:rFonts w:ascii="Calibri" w:cs="Calibri" w:eastAsia="Calibri" w:hAnsi="Calibri"/>
          <w:i/>
          <w:iCs/>
          <w:sz w:val="21"/>
          <w:szCs w:val="21"/>
        </w:rPr>
        <w:t xml:space="preserve">State in one paragraph why the weightings are what they are. A reconciliation table without a stated reason for each weighting is the most common ground on which a valuation is challenged.</w:t>
      </w:r>
    </w:p>
    <w:p>
      <w:pPr>
        <w:spacing w:after="160" w:before="0" w:line="276"/>
        <w:jc w:val="both"/>
      </w:pPr>
      <w:r>
        <w:rPr>
          <w:rFonts w:ascii="Calibri" w:cs="Calibri" w:eastAsia="Calibri" w:hAnsi="Calibri"/>
          <w:b/>
          <w:bCs/>
          <w:sz w:val="21"/>
          <w:szCs w:val="21"/>
        </w:rPr>
        <w:t xml:space="preserve">[EXPLAIN THE WEIGHTINGS]</w:t>
      </w:r>
    </w:p>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6. CONCLUSION, LIMITATIONS AND DECLARATION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On the basis of the information made available to us, the approaches and assumptions described in this report, and subject to the limitations set out below, we are of the opinion that the fair value of the </w:t>
      </w:r>
      <w:r>
        <w:rPr>
          <w:rFonts w:ascii="Calibri" w:cs="Calibri" w:eastAsia="Calibri" w:hAnsi="Calibri"/>
          <w:b/>
          <w:bCs/>
          <w:sz w:val="21"/>
          <w:szCs w:val="21"/>
        </w:rPr>
        <w:t xml:space="preserve">[equity shares]</w:t>
      </w:r>
      <w:r>
        <w:rPr>
          <w:rFonts w:ascii="Calibri" w:cs="Calibri" w:eastAsia="Calibri" w:hAnsi="Calibri"/>
          <w:sz w:val="21"/>
          <w:szCs w:val="21"/>
        </w:rPr>
        <w:t xml:space="preserve"> of the Company as at the Valuation Date is </w:t>
      </w:r>
      <w:r>
        <w:rPr>
          <w:rFonts w:ascii="Calibri" w:cs="Calibri" w:eastAsia="Calibri" w:hAnsi="Calibri"/>
          <w:b/>
          <w:bCs/>
          <w:sz w:val="21"/>
          <w:szCs w:val="21"/>
        </w:rPr>
        <w:t xml:space="preserve">₹ </w:t>
      </w:r>
      <w:r>
        <w:rPr>
          <w:rFonts w:ascii="Calibri" w:cs="Calibri" w:eastAsia="Calibri" w:hAnsi="Calibri"/>
          <w:b/>
          <w:bCs/>
          <w:sz w:val="21"/>
          <w:szCs w:val="21"/>
        </w:rPr>
        <w:t xml:space="preserve">[VALUE]</w:t>
      </w:r>
      <w:r>
        <w:rPr>
          <w:rFonts w:ascii="Calibri" w:cs="Calibri" w:eastAsia="Calibri" w:hAnsi="Calibri"/>
          <w:b/>
          <w:bCs/>
          <w:sz w:val="21"/>
          <w:szCs w:val="21"/>
        </w:rPr>
        <w:t xml:space="preserve"> per share</w:t>
      </w:r>
      <w:r>
        <w:rPr>
          <w:rFonts w:ascii="Calibri" w:cs="Calibri" w:eastAsia="Calibri" w:hAnsi="Calibri"/>
          <w:sz w:val="21"/>
          <w:szCs w:val="21"/>
        </w:rPr>
        <w:t xml:space="preserve">, being an equity value of ₹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valuation is not a precise science. The conclusion is an opinion based on the information available and on assumptions about future events which are inherently uncertain. Reasonable persons applying the same approaches could arrive at a different conclusion, and the price at which a transaction actually occurs may differ from the value concluded here.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Our liability in connection with this report is limited to the fee charged for it, save in the case of fraud or wilful misconduct. This limitation does not apply to any liability which cannot be limited by law.</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We confirm that we have no present or contemplated financial interest in the Company, that our fee is not contingent on the conclusion reached or on the completion of any transaction, and that we have complied with the applicable requirements as to independence.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We consent to this report being produced to the Board, to the shareholders, and to any authority to which it is required to be produced for the purpose stated in Section 1, and to no other person.</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[VALUER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[Registered Valuer / Chartered Accountant / Merchant Banker]</w:t>
            </w:r>
          </w:p>
          <w:p>
            <w:pPr>
              <w:spacing w:after="90" w:line="264"/>
            </w:pPr>
            <w:r>
              <w:rPr>
                <w:rFonts w:ascii="Calibri" w:cs="Calibri" w:eastAsia="Calibri" w:hAnsi="Calibri"/>
                <w:sz w:val="21"/>
                <w:szCs w:val="21"/>
              </w:rPr>
              <w:t xml:space="preserve">Registration no.: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Unique document identification no.: </w:t>
            </w:r>
            <w:r>
              <w:rPr>
                <w:rFonts w:ascii="Calibri" w:cs="Calibri" w:eastAsia="Calibri" w:hAnsi="Calibri"/>
                <w:b/>
                <w:bCs/>
                <w:sz w:val="21"/>
                <w:szCs w:val="21"/>
              </w:rPr>
              <w:t xml:space="preserve">[UDIN]</w:t>
            </w: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Information Relied Upon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011"/>
        <w:gridCol w:w="2313"/>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 or information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Prepared or provided by</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financial statements for the </w:t>
            </w:r>
            <w:r>
              <w:rPr>
                <w:rFonts w:ascii="Calibri" w:cs="Calibri" w:eastAsia="Calibri" w:hAnsi="Calibri"/>
                <w:b/>
                <w:bCs/>
                <w:sz w:val="19"/>
                <w:szCs w:val="19"/>
              </w:rPr>
              <w:t xml:space="preserve">[3]</w:t>
            </w:r>
            <w:r>
              <w:rPr>
                <w:rFonts w:ascii="Calibri" w:cs="Calibri" w:eastAsia="Calibri" w:hAnsi="Calibri"/>
                <w:sz w:val="19"/>
                <w:szCs w:val="19"/>
              </w:rPr>
              <w:t xml:space="preserve"> years ended </w:t>
            </w: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[AUDITOR]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 accounts to </w:t>
            </w: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projections for the </w:t>
            </w:r>
            <w:r>
              <w:rPr>
                <w:rFonts w:ascii="Calibri" w:cs="Calibri" w:eastAsia="Calibri" w:hAnsi="Calibri"/>
                <w:b/>
                <w:bCs/>
                <w:sz w:val="19"/>
                <w:szCs w:val="19"/>
              </w:rPr>
              <w:t xml:space="preserve">[5]</w:t>
            </w:r>
            <w:r>
              <w:rPr>
                <w:rFonts w:ascii="Calibri" w:cs="Calibri" w:eastAsia="Calibri" w:hAnsi="Calibri"/>
                <w:sz w:val="19"/>
                <w:szCs w:val="19"/>
              </w:rPr>
              <w:t xml:space="preserve"> years ending </w:t>
            </w: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Capitalisation table and terms of each class of security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Memorandum and articles of association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Details of borrowings, contingent liabilities and commitments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 representation letter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Rights Attaching to Each Class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1734"/>
        <w:gridCol w:w="1252"/>
        <w:gridCol w:w="1252"/>
        <w:gridCol w:w="1349"/>
        <w:gridCol w:w="2124"/>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Liquidation preference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Participating</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Dividend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Conversion</w:t>
            </w:r>
          </w:p>
        </w:tc>
        <w:tc>
          <w:tcPr>
            <w:tcW w:type="dxa" w:w="21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Anti-dilution</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shares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 declared]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A]</w:t>
            </w:r>
            <w:r>
              <w:rPr>
                <w:rFonts w:ascii="Calibri" w:cs="Calibri" w:eastAsia="Calibri" w:hAnsi="Calibri"/>
                <w:sz w:val="19"/>
                <w:szCs w:val="19"/>
              </w:rPr>
              <w:t xml:space="preserve"> CCPS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[1x]</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[Broad-based weighted average]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B]</w:t>
            </w:r>
            <w:r>
              <w:rPr>
                <w:rFonts w:ascii="Calibri" w:cs="Calibri" w:eastAsia="Calibri" w:hAnsi="Calibri"/>
                <w:sz w:val="19"/>
                <w:szCs w:val="19"/>
              </w:rPr>
              <w:t xml:space="preserve"> CCPS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[1x]</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[METHOD]</w:t>
            </w:r>
          </w:p>
        </w:tc>
      </w:tr>
    </w:tbl>
    <w:p>
      <w:pPr>
        <w:spacing w:after="140"/>
      </w:pPr>
    </w:p>
    <w:p>
      <w:pPr>
        <w:spacing w:after="120" w:before="0" w:line="276"/>
        <w:jc w:val="both"/>
      </w:pPr>
      <w:r>
        <w:rPr>
          <w:rFonts w:ascii="Calibri" w:cs="Calibri" w:eastAsia="Calibri" w:hAnsi="Calibri"/>
          <w:i/>
          <w:iCs/>
          <w:sz w:val="21"/>
          <w:szCs w:val="21"/>
        </w:rPr>
        <w:t xml:space="preserve">Where the classes carry different economic rights, the concluded equity value must be allocated between them, not divided by the fully diluted share count. State the allocation method used — a waterfall at the concluded value, or an option-pricing allocation — and show the result.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120"/>
        <w:gridCol w:w="2313"/>
        <w:gridCol w:w="1929"/>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 (as converted)</w:t>
            </w:r>
          </w:p>
        </w:tc>
        <w:tc>
          <w:tcPr>
            <w:tcW w:type="dxa" w:w="231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Allocated value (₹)</w:t>
            </w:r>
          </w:p>
        </w:tc>
        <w:tc>
          <w:tcPr>
            <w:tcW w:type="dxa" w:w="192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 per share (₹)</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shares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A]</w:t>
            </w:r>
            <w:r>
              <w:rPr>
                <w:rFonts w:ascii="Calibri" w:cs="Calibri" w:eastAsia="Calibri" w:hAnsi="Calibri"/>
                <w:sz w:val="19"/>
                <w:szCs w:val="19"/>
              </w:rPr>
              <w:t xml:space="preserve"> CCPS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B]</w:t>
            </w:r>
            <w:r>
              <w:rPr>
                <w:rFonts w:ascii="Calibri" w:cs="Calibri" w:eastAsia="Calibri" w:hAnsi="Calibri"/>
                <w:sz w:val="19"/>
                <w:szCs w:val="19"/>
              </w:rPr>
              <w:t xml:space="preserve"> CCPS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9"/>
            <w:tcMar>
              <w:top w:type="dxa" w:w="70"/>
              <w:left w:type="dxa" w:w="100"/>
              <w:bottom w:type="dxa" w:w="70"/>
              <w:right w:type="dxa" w:w="100"/>
            </w:tcMar>
            <w:vAlign w:val="center"/>
          </w:tcPr>
          <w:p>
            <w:pPr>
              <w:spacing w:after="0" w:line="240"/>
              <w:jc w:val="right"/>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Who may sign, and for what purpose</w:t>
      </w:r>
    </w:p>
    <w:p>
      <w:pPr>
        <w:spacing w:after="60" w:line="264"/>
        <w:jc w:val="both"/>
      </w:pPr>
      <w:r>
        <w:rPr>
          <w:rFonts w:ascii="Calibri" w:cs="Calibri" w:eastAsia="Calibri" w:hAnsi="Calibri"/>
          <w:sz w:val="19"/>
          <w:szCs w:val="19"/>
        </w:rPr>
        <w:t xml:space="preserve">The qualification required depends on the purpose. A preferential allotment under the Companies Act requires a report from a registered valuer registered with the Insolvency and Bankruptcy Board of India for the asset class securities or financial assets. The exchange control pricing floor requires a certificate from a chartered accountant, a SEBI-registered merchant banker or a practising cost accountant, applying any internationally accepted pricing methodology on an arm’s length basis. These are different requirements and one person may not satisfy both. Where the round involves a non-resident investor and a preferential allotment, expect to need two reports.</w:t>
      </w:r>
    </w:p>
    <w:p>
      <w:pPr>
        <w:keepNext/>
        <w:spacing w:after="40" w:before="140"/>
      </w:pPr>
      <w:r>
        <w:rPr>
          <w:rFonts w:ascii="Calibri" w:cs="Calibri" w:eastAsia="Calibri" w:hAnsi="Calibri"/>
          <w:b/>
          <w:bCs/>
          <w:color w:val="14161B"/>
          <w:sz w:val="20"/>
          <w:szCs w:val="20"/>
        </w:rPr>
        <w:t xml:space="preserve">Ninety days</w:t>
      </w:r>
    </w:p>
    <w:p>
      <w:pPr>
        <w:spacing w:after="60" w:line="264"/>
        <w:jc w:val="both"/>
      </w:pPr>
      <w:r>
        <w:rPr>
          <w:rFonts w:ascii="Calibri" w:cs="Calibri" w:eastAsia="Calibri" w:hAnsi="Calibri"/>
          <w:sz w:val="19"/>
          <w:szCs w:val="19"/>
        </w:rPr>
        <w:t xml:space="preserve">Practice treats an exchange control valuation certificate as stale after ninety days. Time the report so that it is still current on the date of allotment, not merely on the date of the board meeting. A round that slips by a month frequently needs the certificate refreshed.</w:t>
      </w:r>
    </w:p>
    <w:p>
      <w:pPr>
        <w:keepNext/>
        <w:spacing w:after="40" w:before="140"/>
      </w:pPr>
      <w:r>
        <w:rPr>
          <w:rFonts w:ascii="Calibri" w:cs="Calibri" w:eastAsia="Calibri" w:hAnsi="Calibri"/>
          <w:b/>
          <w:bCs/>
          <w:color w:val="14161B"/>
          <w:sz w:val="20"/>
          <w:szCs w:val="20"/>
        </w:rPr>
        <w:t xml:space="preserve">Purpose drives method</w:t>
      </w:r>
    </w:p>
    <w:p>
      <w:pPr>
        <w:spacing w:after="60" w:line="264"/>
        <w:jc w:val="both"/>
      </w:pPr>
      <w:r>
        <w:rPr>
          <w:rFonts w:ascii="Calibri" w:cs="Calibri" w:eastAsia="Calibri" w:hAnsi="Calibri"/>
          <w:sz w:val="19"/>
          <w:szCs w:val="19"/>
        </w:rPr>
        <w:t xml:space="preserve">The same company can have several defensible values on the same day depending on the purpose — a fair value for a preferential allotment, a fair market value for exchange control, and a different figure for an option grant. Section 1 must state the purpose precisely, because the report is only usable for that purpose.</w:t>
      </w:r>
    </w:p>
    <w:p>
      <w:pPr>
        <w:keepNext/>
        <w:spacing w:after="40" w:before="140"/>
      </w:pPr>
      <w:r>
        <w:rPr>
          <w:rFonts w:ascii="Calibri" w:cs="Calibri" w:eastAsia="Calibri" w:hAnsi="Calibri"/>
          <w:b/>
          <w:bCs/>
          <w:color w:val="14161B"/>
          <w:sz w:val="20"/>
          <w:szCs w:val="20"/>
        </w:rPr>
        <w:t xml:space="preserve">Projections belong to management</w:t>
      </w:r>
    </w:p>
    <w:p>
      <w:pPr>
        <w:spacing w:after="60" w:line="264"/>
        <w:jc w:val="both"/>
      </w:pPr>
      <w:r>
        <w:rPr>
          <w:rFonts w:ascii="Calibri" w:cs="Calibri" w:eastAsia="Calibri" w:hAnsi="Calibri"/>
          <w:sz w:val="19"/>
          <w:szCs w:val="19"/>
        </w:rPr>
        <w:t xml:space="preserve">Clause 2.2 is not boilerplate. The valuer reviews projections for reasonableness; management owns them. Obtain a management representation letter confirming the projections and the completeness of the information, and list it in Annexure A. Without it the valuer is exposed and the report is weaker.</w:t>
      </w:r>
    </w:p>
    <w:p>
      <w:pPr>
        <w:keepNext/>
        <w:spacing w:after="40" w:before="140"/>
      </w:pPr>
      <w:r>
        <w:rPr>
          <w:rFonts w:ascii="Calibri" w:cs="Calibri" w:eastAsia="Calibri" w:hAnsi="Calibri"/>
          <w:b/>
          <w:bCs/>
          <w:color w:val="14161B"/>
          <w:sz w:val="20"/>
          <w:szCs w:val="20"/>
        </w:rPr>
        <w:t xml:space="preserve">Terminal value dominates — disclose how much</w:t>
      </w:r>
    </w:p>
    <w:p>
      <w:pPr>
        <w:spacing w:after="60" w:line="264"/>
        <w:jc w:val="both"/>
      </w:pPr>
      <w:r>
        <w:rPr>
          <w:rFonts w:ascii="Calibri" w:cs="Calibri" w:eastAsia="Calibri" w:hAnsi="Calibri"/>
          <w:sz w:val="19"/>
          <w:szCs w:val="19"/>
        </w:rPr>
        <w:t xml:space="preserve">In an early-stage discounted cash flow, the terminal value is typically seventy to ninety per cent of the enterprise value, which means the conclusion is driven almost entirely by two assumptions: the terminal growth rate and the discount rate. Section 5.3 asks for the terminal value as a percentage of enterprise value precisely so the reader can see this, and Section 5.5 shows the sensitivity. A report that hides this is not a useful report.</w:t>
      </w:r>
    </w:p>
    <w:p>
      <w:pPr>
        <w:keepNext/>
        <w:spacing w:after="40" w:before="140"/>
      </w:pPr>
      <w:r>
        <w:rPr>
          <w:rFonts w:ascii="Calibri" w:cs="Calibri" w:eastAsia="Calibri" w:hAnsi="Calibri"/>
          <w:b/>
          <w:bCs/>
          <w:color w:val="14161B"/>
          <w:sz w:val="20"/>
          <w:szCs w:val="20"/>
        </w:rPr>
        <w:t xml:space="preserve">The company-specific risk premium is where judgment hides</w:t>
      </w:r>
    </w:p>
    <w:p>
      <w:pPr>
        <w:spacing w:after="60" w:line="264"/>
        <w:jc w:val="both"/>
      </w:pPr>
      <w:r>
        <w:rPr>
          <w:rFonts w:ascii="Calibri" w:cs="Calibri" w:eastAsia="Calibri" w:hAnsi="Calibri"/>
          <w:sz w:val="19"/>
          <w:szCs w:val="19"/>
        </w:rPr>
        <w:t xml:space="preserve">Adding several percentage points of unexplained company-specific risk is the easiest way to reach a predetermined answer. Identify each factor — customer concentration, key person dependency, limited operating history, single-product exposure — and attribute a component of the premium to each. An unexplained premium is the first thing a reviewer will challenge.</w:t>
      </w:r>
    </w:p>
    <w:p>
      <w:pPr>
        <w:keepNext/>
        <w:spacing w:after="40" w:before="140"/>
      </w:pPr>
      <w:r>
        <w:rPr>
          <w:rFonts w:ascii="Calibri" w:cs="Calibri" w:eastAsia="Calibri" w:hAnsi="Calibri"/>
          <w:b/>
          <w:bCs/>
          <w:color w:val="14161B"/>
          <w:sz w:val="20"/>
          <w:szCs w:val="20"/>
        </w:rPr>
        <w:t xml:space="preserve">A recent arm’s length round is powerful evidence</w:t>
      </w:r>
    </w:p>
    <w:p>
      <w:pPr>
        <w:spacing w:after="60" w:line="264"/>
        <w:jc w:val="both"/>
      </w:pPr>
      <w:r>
        <w:rPr>
          <w:rFonts w:ascii="Calibri" w:cs="Calibri" w:eastAsia="Calibri" w:hAnsi="Calibri"/>
          <w:sz w:val="19"/>
          <w:szCs w:val="19"/>
        </w:rPr>
        <w:t xml:space="preserve">Where the company has closed a genuine priced round with an unconnected investor within the last few months, that price is strong evidence of fair value and should be given substantial weight in the reconciliation, or the report should explain why it has not been. Ignoring a recent round while reaching a materially different figure invites challenge.</w:t>
      </w:r>
    </w:p>
    <w:p>
      <w:pPr>
        <w:keepNext/>
        <w:spacing w:after="40" w:before="140"/>
      </w:pPr>
      <w:r>
        <w:rPr>
          <w:rFonts w:ascii="Calibri" w:cs="Calibri" w:eastAsia="Calibri" w:hAnsi="Calibri"/>
          <w:b/>
          <w:bCs/>
          <w:color w:val="14161B"/>
          <w:sz w:val="20"/>
          <w:szCs w:val="20"/>
        </w:rPr>
        <w:t xml:space="preserve">Allocate between classes, do not divide</w:t>
      </w:r>
    </w:p>
    <w:p>
      <w:pPr>
        <w:spacing w:after="60" w:line="264"/>
        <w:jc w:val="both"/>
      </w:pPr>
      <w:r>
        <w:rPr>
          <w:rFonts w:ascii="Calibri" w:cs="Calibri" w:eastAsia="Calibri" w:hAnsi="Calibri"/>
          <w:sz w:val="19"/>
          <w:szCs w:val="19"/>
        </w:rPr>
        <w:t xml:space="preserve">Where preference shares carry a liquidation preference, the equity value does not divide evenly across the fully diluted share count. The preference has value and the common shares have less. Annexure C requires an allocation. For option valuations in particular, dividing equity value by fully diluted shares overstates the value of the common stock and understates the option gain.</w:t>
      </w:r>
    </w:p>
    <w:p>
      <w:pPr>
        <w:keepNext/>
        <w:spacing w:after="40" w:before="140"/>
      </w:pPr>
      <w:r>
        <w:rPr>
          <w:rFonts w:ascii="Calibri" w:cs="Calibri" w:eastAsia="Calibri" w:hAnsi="Calibri"/>
          <w:b/>
          <w:bCs/>
          <w:color w:val="14161B"/>
          <w:sz w:val="20"/>
          <w:szCs w:val="20"/>
        </w:rPr>
        <w:t xml:space="preserve">Angel tax no longer drives the number</w:t>
      </w:r>
    </w:p>
    <w:p>
      <w:pPr>
        <w:spacing w:after="60" w:line="264"/>
        <w:jc w:val="both"/>
      </w:pPr>
      <w:r>
        <w:rPr>
          <w:rFonts w:ascii="Calibri" w:cs="Calibri" w:eastAsia="Calibri" w:hAnsi="Calibri"/>
          <w:sz w:val="19"/>
          <w:szCs w:val="19"/>
        </w:rPr>
        <w:t xml:space="preserve">Section 56(2)(viib) of the Income-tax Act, 1961 was omitted with effect from assessment year 2025-26 and has not been re-enacted. Valuations no longer need to be defended against a charge on the company for issuing above fair market value. The company law and exchange control requirements are unaffected, and a valuation remains necessary for both.</w:t>
      </w:r>
    </w:p>
    <w:p>
      <w:pPr>
        <w:keepNext/>
        <w:spacing w:after="40" w:before="140"/>
      </w:pPr>
      <w:r>
        <w:rPr>
          <w:rFonts w:ascii="Calibri" w:cs="Calibri" w:eastAsia="Calibri" w:hAnsi="Calibri"/>
          <w:b/>
          <w:bCs/>
          <w:color w:val="14161B"/>
          <w:sz w:val="20"/>
          <w:szCs w:val="20"/>
        </w:rPr>
        <w:t xml:space="preserve">Independence and contingent fees</w:t>
      </w:r>
    </w:p>
    <w:p>
      <w:pPr>
        <w:spacing w:after="60" w:line="264"/>
        <w:jc w:val="both"/>
      </w:pPr>
      <w:r>
        <w:rPr>
          <w:rFonts w:ascii="Calibri" w:cs="Calibri" w:eastAsia="Calibri" w:hAnsi="Calibri"/>
          <w:sz w:val="19"/>
          <w:szCs w:val="19"/>
        </w:rPr>
        <w:t xml:space="preserve">Clause 6.4. A fee contingent on the conclusion, or on the transaction completing, compromises the report and may breach the valuer’s professional obligations. Where the valuer has any other relationship with the company, disclose it.</w:t>
      </w:r>
    </w:p>
    <w:p>
      <w:pPr>
        <w:keepNext/>
        <w:spacing w:after="40" w:before="140"/>
      </w:pPr>
      <w:r>
        <w:rPr>
          <w:rFonts w:ascii="Calibri" w:cs="Calibri" w:eastAsia="Calibri" w:hAnsi="Calibri"/>
          <w:b/>
          <w:bCs/>
          <w:color w:val="14161B"/>
          <w:sz w:val="20"/>
          <w:szCs w:val="20"/>
        </w:rPr>
        <w:t xml:space="preserve">Show the workings</w:t>
      </w:r>
    </w:p>
    <w:p>
      <w:pPr>
        <w:spacing w:after="60" w:line="264"/>
        <w:jc w:val="both"/>
      </w:pPr>
      <w:r>
        <w:rPr>
          <w:rFonts w:ascii="Calibri" w:cs="Calibri" w:eastAsia="Calibri" w:hAnsi="Calibri"/>
          <w:sz w:val="19"/>
          <w:szCs w:val="19"/>
        </w:rPr>
        <w:t xml:space="preserve">A conclusion with no visible arithmetic is not a valuation report, it is an assertion. Sections 5.1 to 5.6 are laid out so that a reader can follow the chain from revenue projection to value per share and test each link. Attach the model where the addressee will want it.</w:t>
      </w:r>
    </w:p>
    <w:p>
      <w:pPr>
        <w:keepNext/>
        <w:spacing w:after="40" w:before="140"/>
      </w:pPr>
      <w:r>
        <w:rPr>
          <w:rFonts w:ascii="Calibri" w:cs="Calibri" w:eastAsia="Calibri" w:hAnsi="Calibri"/>
          <w:b/>
          <w:bCs/>
          <w:color w:val="14161B"/>
          <w:sz w:val="20"/>
          <w:szCs w:val="20"/>
        </w:rPr>
        <w:t xml:space="preserve">Unique document identification</w:t>
      </w:r>
    </w:p>
    <w:p>
      <w:pPr>
        <w:spacing w:after="60" w:line="264"/>
        <w:jc w:val="both"/>
      </w:pPr>
      <w:r>
        <w:rPr>
          <w:rFonts w:ascii="Calibri" w:cs="Calibri" w:eastAsia="Calibri" w:hAnsi="Calibri"/>
          <w:sz w:val="19"/>
          <w:szCs w:val="19"/>
        </w:rPr>
        <w:t xml:space="preserve">Where the signatory is required by the professional body to generate a unique document identification number for the certificate, generate it and record it on the signature block. A report without it may be rejected.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valuation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Qualification requirements and the exchange control pricing framework change — confirm who may sign, and under what standard, before commencing work.</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2026-08-21T12:53:53.563Z</dcterms:created>
  <dcterms:modified xsi:type="dcterms:W3CDTF">2026-08-21T12:53:53.563Z</dcterms:modified>
</cp:coreProperties>
</file>

<file path=docProps/custom.xml><?xml version="1.0" encoding="utf-8"?>
<Properties xmlns="http://schemas.openxmlformats.org/officeDocument/2006/custom-properties" xmlns:vt="http://schemas.openxmlformats.org/officeDocument/2006/docPropsVTypes"/>
</file>