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NON-DISCLOSURE AGREEMENT</w:t>
      </w:r>
    </w:p>
    <w:p>
      <w:pPr>
        <w:spacing w:after="260"/>
        <w:jc w:val="center"/>
      </w:pPr>
      <w:r>
        <w:rPr>
          <w:rFonts w:ascii="Calibri" w:cs="Calibri" w:eastAsia="Calibri" w:hAnsi="Calibri"/>
          <w:i/>
          <w:iCs/>
          <w:color w:val="6E7480"/>
          <w:sz w:val="19"/>
          <w:szCs w:val="19"/>
        </w:rPr>
        <w:t xml:space="preserve">One-way — information flows from the Disclosing Party to the Receiving Party only</w:t>
      </w:r>
    </w:p>
    <w:p>
      <w:pPr>
        <w:spacing w:after="180" w:before="0" w:line="276"/>
        <w:jc w:val="both"/>
      </w:pPr>
      <w:r>
        <w:rPr>
          <w:rFonts w:ascii="Calibri" w:cs="Calibri" w:eastAsia="Calibri" w:hAnsi="Calibri"/>
          <w:i/>
          <w:iCs/>
          <w:color w:val="6E7480"/>
          <w:sz w:val="21"/>
          <w:szCs w:val="21"/>
        </w:rPr>
        <w:t xml:space="preserve">Use the one-way form only where information genuinely flows in one direction. Where both sides will exchange anything of value, the mutual form is fairer and avoids the argument that arises the first time the disclosing party receives something back.</w:t>
      </w:r>
    </w:p>
    <w:p>
      <w:pPr>
        <w:spacing w:after="160" w:before="0" w:line="276"/>
        <w:jc w:val="both"/>
      </w:pPr>
      <w:r>
        <w:rPr>
          <w:rFonts w:ascii="Calibri" w:cs="Calibri" w:eastAsia="Calibri" w:hAnsi="Calibri"/>
          <w:sz w:val="21"/>
          <w:szCs w:val="21"/>
        </w:rPr>
        <w:t xml:space="preserve">This Non-Disclosure Agreement (this "</w:t>
      </w:r>
      <w:r>
        <w:rPr>
          <w:rFonts w:ascii="Calibri" w:cs="Calibri" w:eastAsia="Calibri" w:hAnsi="Calibri"/>
          <w:b/>
          <w:bCs/>
          <w:sz w:val="21"/>
          <w:szCs w:val="21"/>
        </w:rPr>
        <w:t xml:space="preserve">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 OF EXECUTION]</w:t>
      </w:r>
      <w:r>
        <w:rPr>
          <w:rFonts w:ascii="Calibri" w:cs="Calibri" w:eastAsia="Calibri" w:hAnsi="Calibri"/>
          <w:sz w:val="21"/>
          <w:szCs w:val="21"/>
        </w:rPr>
        <w:t xml:space="preserve"> on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BY AND BETWEEN</w:t>
      </w:r>
    </w:p>
    <w:p>
      <w:pPr>
        <w:spacing w:after="120" w:before="0" w:line="276"/>
        <w:jc w:val="both"/>
      </w:pPr>
      <w:r>
        <w:rPr>
          <w:rFonts w:ascii="Calibri" w:cs="Calibri" w:eastAsia="Calibri" w:hAnsi="Calibri"/>
          <w:b/>
          <w:bCs/>
          <w:sz w:val="21"/>
          <w:szCs w:val="21"/>
        </w:rPr>
        <w:t xml:space="preserve">[DISCLOSING PARTY NAME]</w:t>
      </w:r>
      <w:r>
        <w:rPr>
          <w:rFonts w:ascii="Calibri" w:cs="Calibri" w:eastAsia="Calibri" w:hAnsi="Calibri"/>
          <w:sz w:val="21"/>
          <w:szCs w:val="21"/>
        </w:rPr>
        <w:t xml:space="preserve">, a company incorporated under the Companies Act, 2013 bearing CIN </w:t>
      </w:r>
      <w:r>
        <w:rPr>
          <w:rFonts w:ascii="Calibri" w:cs="Calibri" w:eastAsia="Calibri" w:hAnsi="Calibri"/>
          <w:b/>
          <w:bCs/>
          <w:sz w:val="21"/>
          <w:szCs w:val="21"/>
        </w:rPr>
        <w:t xml:space="preserve">[CIN]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[REGISTERED OFFICE ADDRESS]</w:t>
      </w:r>
      <w:r>
        <w:rPr>
          <w:rFonts w:ascii="Calibri" w:cs="Calibri" w:eastAsia="Calibri" w:hAnsi="Calibri"/>
          <w:sz w:val="21"/>
          <w:szCs w:val="21"/>
        </w:rPr>
        <w:t xml:space="preserve"> (the "</w:t>
      </w:r>
      <w:r>
        <w:rPr>
          <w:rFonts w:ascii="Calibri" w:cs="Calibri" w:eastAsia="Calibri" w:hAnsi="Calibri"/>
          <w:b/>
          <w:bCs/>
          <w:sz w:val="21"/>
          <w:szCs w:val="21"/>
        </w:rPr>
        <w:t xml:space="preserve">Disclosing Party</w:t>
      </w:r>
      <w:r>
        <w:rPr>
          <w:rFonts w:ascii="Calibri" w:cs="Calibri" w:eastAsia="Calibri" w:hAnsi="Calibri"/>
          <w:sz w:val="21"/>
          <w:szCs w:val="21"/>
        </w:rPr>
        <w:t xml:space="preserve">") of the ONE PART;</w:t>
      </w:r>
    </w:p>
    <w:p>
      <w:pPr>
        <w:spacing w:after="100" w:before="0" w:line="276"/>
        <w:jc w:val="both"/>
      </w:pPr>
      <w:r>
        <w:rPr>
          <w:rFonts w:ascii="Calibri" w:cs="Calibri" w:eastAsia="Calibri" w:hAnsi="Calibri"/>
          <w:b/>
          <w:bCs/>
          <w:sz w:val="21"/>
          <w:szCs w:val="21"/>
        </w:rPr>
        <w:t xml:space="preserve">AND</w:t>
      </w:r>
    </w:p>
    <w:p>
      <w:pPr>
        <w:spacing w:after="140" w:before="0" w:line="276"/>
        <w:jc w:val="both"/>
      </w:pPr>
      <w:r>
        <w:rPr>
          <w:rFonts w:ascii="Calibri" w:cs="Calibri" w:eastAsia="Calibri" w:hAnsi="Calibri"/>
          <w:b/>
          <w:bCs/>
          <w:sz w:val="21"/>
          <w:szCs w:val="21"/>
        </w:rPr>
        <w:t xml:space="preserve">[RECEIVING PARTY NAME]</w:t>
      </w:r>
      <w:r>
        <w:rPr>
          <w:rFonts w:ascii="Calibri" w:cs="Calibri" w:eastAsia="Calibri" w:hAnsi="Calibri"/>
          <w:sz w:val="21"/>
          <w:szCs w:val="21"/>
        </w:rPr>
        <w:t xml:space="preserve">, </w:t>
      </w:r>
      <w:r>
        <w:rPr>
          <w:rFonts w:ascii="Calibri" w:cs="Calibri" w:eastAsia="Calibri" w:hAnsi="Calibri"/>
          <w:b/>
          <w:bCs/>
          <w:sz w:val="21"/>
          <w:szCs w:val="21"/>
        </w:rPr>
        <w:t xml:space="preserve">[CONSTITUTION — e.g. a company incorporated under the Companies Act, 2013 bearing CIN ______ / an individual holding PAN ______]</w:t>
      </w:r>
      <w:r>
        <w:rPr>
          <w:rFonts w:ascii="Calibri" w:cs="Calibri" w:eastAsia="Calibri" w:hAnsi="Calibri"/>
          <w:sz w:val="21"/>
          <w:szCs w:val="21"/>
        </w:rPr>
        <w:t xml:space="preserve">, having its registered office /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Receiving Party</w:t>
      </w:r>
      <w:r>
        <w:rPr>
          <w:rFonts w:ascii="Calibri" w:cs="Calibri" w:eastAsia="Calibri" w:hAnsi="Calibri"/>
          <w:sz w:val="21"/>
          <w:szCs w:val="21"/>
        </w:rPr>
        <w:t xml:space="preserve">") of the OTHER PART.</w:t>
      </w:r>
    </w:p>
    <w:p>
      <w:pPr>
        <w:spacing w:after="160" w:before="0" w:line="276"/>
        <w:jc w:val="both"/>
      </w:pPr>
      <w:r>
        <w:rPr>
          <w:rFonts w:ascii="Calibri" w:cs="Calibri" w:eastAsia="Calibri" w:hAnsi="Calibri"/>
          <w:sz w:val="21"/>
          <w:szCs w:val="21"/>
        </w:rPr>
        <w:t xml:space="preserve">The Disclosing Party and the Receiving Party are individually a "</w:t>
      </w:r>
      <w:r>
        <w:rPr>
          <w:rFonts w:ascii="Calibri" w:cs="Calibri" w:eastAsia="Calibri" w:hAnsi="Calibri"/>
          <w:b/>
          <w:bCs/>
          <w:sz w:val="21"/>
          <w:szCs w:val="21"/>
        </w:rPr>
        <w:t xml:space="preserve">Party</w:t>
      </w:r>
      <w:r>
        <w:rPr>
          <w:rFonts w:ascii="Calibri" w:cs="Calibri" w:eastAsia="Calibri" w:hAnsi="Calibri"/>
          <w:sz w:val="21"/>
          <w:szCs w:val="21"/>
        </w:rPr>
        <w:t xml:space="preserve">" and collectively the "</w:t>
      </w:r>
      <w:r>
        <w:rPr>
          <w:rFonts w:ascii="Calibri" w:cs="Calibri" w:eastAsia="Calibri" w:hAnsi="Calibri"/>
          <w:b/>
          <w:bCs/>
          <w:sz w:val="21"/>
          <w:szCs w:val="21"/>
        </w:rPr>
        <w:t xml:space="preserve">Parties</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Disclosing Party carries on the business of </w:t>
      </w:r>
      <w:r>
        <w:rPr>
          <w:rFonts w:ascii="Calibri" w:cs="Calibri" w:eastAsia="Calibri" w:hAnsi="Calibri"/>
          <w:b/>
          <w:bCs/>
          <w:sz w:val="21"/>
          <w:szCs w:val="21"/>
        </w:rPr>
        <w:t xml:space="preserve">[DESCRIBE BUSINESS]</w:t>
      </w:r>
      <w:r>
        <w:rPr>
          <w:rFonts w:ascii="Calibri" w:cs="Calibri" w:eastAsia="Calibri" w:hAnsi="Calibri"/>
          <w:sz w:val="21"/>
          <w:szCs w:val="21"/>
        </w:rPr>
        <w:t xml:space="preserve"> and possesses confidential and proprietary information relating to that business.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Receiving Party has requested, or is to be given access to, such information for the purpose of </w:t>
      </w:r>
      <w:r>
        <w:rPr>
          <w:rFonts w:ascii="Calibri" w:cs="Calibri" w:eastAsia="Calibri" w:hAnsi="Calibri"/>
          <w:b/>
          <w:bCs/>
          <w:sz w:val="21"/>
          <w:szCs w:val="21"/>
        </w:rPr>
        <w:t xml:space="preserve">[PURPOSE — e.g. evaluating a proposed supply of services / performing a pilot / conducting due diligence / providing professional advice]</w:t>
      </w:r>
      <w:r>
        <w:rPr>
          <w:rFonts w:ascii="Calibri" w:cs="Calibri" w:eastAsia="Calibri" w:hAnsi="Calibri"/>
          <w:sz w:val="21"/>
          <w:szCs w:val="21"/>
        </w:rPr>
        <w:t xml:space="preserve"> (the "</w:t>
      </w:r>
      <w:r>
        <w:rPr>
          <w:rFonts w:ascii="Calibri" w:cs="Calibri" w:eastAsia="Calibri" w:hAnsi="Calibri"/>
          <w:b/>
          <w:bCs/>
          <w:sz w:val="21"/>
          <w:szCs w:val="21"/>
        </w:rPr>
        <w:t xml:space="preserve">Purpose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Disclosing Party is willing to disclose such information only on the terms of this Agreement, and the Receiving Party acknowledges that access to it is granted in reliance on the undertakings recorded below.</w:t>
      </w:r>
    </w:p>
    <w:p>
      <w:pPr>
        <w:spacing w:after="120" w:before="120" w:line="276"/>
        <w:jc w:val="both"/>
      </w:pPr>
      <w:r>
        <w:rPr>
          <w:rFonts w:ascii="Calibri" w:cs="Calibri" w:eastAsia="Calibri" w:hAnsi="Calibri"/>
          <w:sz w:val="21"/>
          <w:szCs w:val="21"/>
        </w:rPr>
        <w:t xml:space="preserve">NOW THEREFORE the Parties agree as follows:</w:t>
      </w:r>
    </w:p>
    <w:p>
      <w:pPr>
        <w:keepNext/>
        <w:spacing w:after="120" w:before="280"/>
        <w:outlineLvl w:val="0"/>
      </w:pPr>
      <w:r>
        <w:rPr>
          <w:rFonts w:ascii="Calibri" w:cs="Calibri" w:eastAsia="Calibri" w:hAnsi="Calibri"/>
          <w:b/>
          <w:bCs/>
          <w:color w:val="14161B"/>
          <w:sz w:val="22"/>
          <w:szCs w:val="22"/>
        </w:rPr>
        <w:t xml:space="preserve">1. DEFINITIONS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w:t>
      </w:r>
      <w:r>
        <w:rPr>
          <w:rFonts w:ascii="Calibri" w:cs="Calibri" w:eastAsia="Calibri" w:hAnsi="Calibri"/>
          <w:b/>
          <w:bCs/>
          <w:sz w:val="21"/>
          <w:szCs w:val="21"/>
        </w:rPr>
        <w:t xml:space="preserve">Confidential Information</w:t>
      </w:r>
      <w:r>
        <w:rPr>
          <w:rFonts w:ascii="Calibri" w:cs="Calibri" w:eastAsia="Calibri" w:hAnsi="Calibri"/>
          <w:sz w:val="21"/>
          <w:szCs w:val="21"/>
        </w:rPr>
        <w:t xml:space="preserve">" means all information of or relating to the Disclosing Party or any of its Affiliates, in any form or medium, disclosed or made accessible to the Receiving Party before, on or after the date of this Agreement, whether or not marked or identified as confidential, including:</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business, financial, commercial, marketing, pricing and strategic information, budgets, forecasts and unit economics;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customer, prospect, supplier, distributor and partner information, including identities, contact details, contract terms and pipeline data;</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technical information including source code, object code, system architecture, databases, data models, algorithms, machine-learning models and training data, designs, drawings, specifications, know-how and trade secrets;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information relating to employees, contractors, remuneration, organisation structure and recruitment;</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the existence and terms of this Agreement and the fact that discussions or dealings between the Parties are taking place; and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all notes, analyses, extracts, models, summaries and other materials prepared by the Receiving Party or its Representatives that contain, reflect or are derived from any of the foregoing ("</w:t>
      </w:r>
      <w:r>
        <w:rPr>
          <w:rFonts w:ascii="Calibri" w:cs="Calibri" w:eastAsia="Calibri" w:hAnsi="Calibri"/>
          <w:b/>
          <w:bCs/>
          <w:sz w:val="21"/>
          <w:szCs w:val="21"/>
        </w:rPr>
        <w:t xml:space="preserve">Derived Materials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w:t>
      </w:r>
      <w:r>
        <w:rPr>
          <w:rFonts w:ascii="Calibri" w:cs="Calibri" w:eastAsia="Calibri" w:hAnsi="Calibri"/>
          <w:b/>
          <w:bCs/>
          <w:sz w:val="21"/>
          <w:szCs w:val="21"/>
        </w:rPr>
        <w:t xml:space="preserve">Affiliate</w:t>
      </w:r>
      <w:r>
        <w:rPr>
          <w:rFonts w:ascii="Calibri" w:cs="Calibri" w:eastAsia="Calibri" w:hAnsi="Calibri"/>
          <w:sz w:val="21"/>
          <w:szCs w:val="21"/>
        </w:rPr>
        <w:t xml:space="preserve">" means any entity controlling, controlled by or under common control with a Party.</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w:t>
      </w:r>
      <w:r>
        <w:rPr>
          <w:rFonts w:ascii="Calibri" w:cs="Calibri" w:eastAsia="Calibri" w:hAnsi="Calibri"/>
          <w:b/>
          <w:bCs/>
          <w:sz w:val="21"/>
          <w:szCs w:val="21"/>
        </w:rPr>
        <w:t xml:space="preserve">Representatives</w:t>
      </w:r>
      <w:r>
        <w:rPr>
          <w:rFonts w:ascii="Calibri" w:cs="Calibri" w:eastAsia="Calibri" w:hAnsi="Calibri"/>
          <w:sz w:val="21"/>
          <w:szCs w:val="21"/>
        </w:rPr>
        <w:t xml:space="preserve">" means, in relation to the Receiving Party, its Affiliates and the directors, officers, employees, contractors, professional advisers and auditors of the Receiving Party or its Affiliates.</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Headings are for convenience only. References to a statute include that statute as amended, re-enacted or replaced. "Including" is without limitation. Writing includes email.</w:t>
      </w:r>
    </w:p>
    <w:p>
      <w:pPr>
        <w:keepNext/>
        <w:spacing w:after="120" w:before="280"/>
        <w:outlineLvl w:val="0"/>
      </w:pPr>
      <w:r>
        <w:rPr>
          <w:rFonts w:ascii="Calibri" w:cs="Calibri" w:eastAsia="Calibri" w:hAnsi="Calibri"/>
          <w:b/>
          <w:bCs/>
          <w:color w:val="14161B"/>
          <w:sz w:val="22"/>
          <w:szCs w:val="22"/>
        </w:rPr>
        <w:t xml:space="preserve">2. UNDERTAKINGS OF THE RECEIVING PARTY</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Receiving Party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hold the Confidential Information in strict confidence and protect it with not less than a reasonable degree of care, and in any event with at least the degree of care it applies to its own confidential information of like importance;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use the Confidential Information solely for the Purpose and for no other purpose whatsoever, and in particular not for the benefit of itself or any third party;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not copy, reproduce, store or transmit the Confidential Information except to the extent necessary for the Purpose, and keep a record of copies made where reasonably practicable;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not disclose the Confidential Information to any person other than in accordance with Clauses 3 and 4;</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not remove, obscure or alter any proprietary notice, label or marking on any material containing Confidential Information;</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store the Confidential Information on systems that are access-controlled and, where the information is transmitted electronically, use encryption in transit;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not reverse-engineer, decompile, disassemble or otherwise attempt to derive the source code, structure, composition or underlying method of operation of any software, product, sample or prototype made available to it.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Receiving Party shall promptly notify the Disclosing Party in writing on becoming aware of any unauthorised access to, use, disclosure, loss or compromise of Confidential Information, shall provide full particulars, and shall at its own cost take all steps reasonably required by the Disclosing Party to contain the incident, recover the information and prevent recurrence.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Receiving Party acknowledges that it has no right to use the Confidential Information to develop, procure the development of, or assist any third party in developing, any product or service that is competitive with any product or service of the Disclosing Party.</w:t>
      </w:r>
    </w:p>
    <w:p>
      <w:pPr>
        <w:keepNext/>
        <w:spacing w:after="120" w:before="280"/>
        <w:outlineLvl w:val="0"/>
      </w:pPr>
      <w:r>
        <w:rPr>
          <w:rFonts w:ascii="Calibri" w:cs="Calibri" w:eastAsia="Calibri" w:hAnsi="Calibri"/>
          <w:b/>
          <w:bCs/>
          <w:color w:val="14161B"/>
          <w:sz w:val="22"/>
          <w:szCs w:val="22"/>
        </w:rPr>
        <w:t xml:space="preserve">3. DISCLOSURE TO REPRESENTATIVES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Receiving Party may disclose Confidential Information only to those Representatives who strictly need to know it for the Purpose, and only after: (a) informing them of its confidential nature; and (b) procuring that they are bound by written confidentiality obligations no less protective than those in this Agreement, or (in the case of professional advisers) by an equivalent professional duty of confidence.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Receiving Party shall be liable to the Disclosing Party for any act or omission of its Representatives which, if done by the Receiving Party, would be a breach of this Agreement, as though it were its own act or omission.</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Receiving Party shall, on request, identify to the Disclosing Party the Representatives to whom Confidential Information has been disclosed and the categories of information disclosed to each.</w:t>
      </w:r>
    </w:p>
    <w:p>
      <w:pPr>
        <w:keepNext/>
        <w:spacing w:after="120" w:before="280"/>
        <w:outlineLvl w:val="0"/>
      </w:pPr>
      <w:r>
        <w:rPr>
          <w:rFonts w:ascii="Calibri" w:cs="Calibri" w:eastAsia="Calibri" w:hAnsi="Calibri"/>
          <w:b/>
          <w:bCs/>
          <w:color w:val="14161B"/>
          <w:sz w:val="22"/>
          <w:szCs w:val="22"/>
        </w:rPr>
        <w:t xml:space="preserve">4. COMPELLED DISCLOSURE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If the Receiving Party or any Representative is required to disclose Confidential Information by applicable law, by an order of a court or tribunal, or by a regulatory, tax or governmental authority, it may do so provided that, to the extent legally permitted and practicable, it: (a) notifies the Disclosing Party in writing before making the disclosure; (b) affords the Disclosing Party a reasonable opportunity to seek protective relief or to object; (c) discloses only that part of the Confidential Information which it is legally obliged to disclose, on the advice of counsel; and (d) uses reasonable efforts to obtain confidential treatment for the information disclosed.</w:t>
      </w:r>
    </w:p>
    <w:p>
      <w:pPr>
        <w:keepNext/>
        <w:spacing w:after="120" w:before="280"/>
        <w:outlineLvl w:val="0"/>
      </w:pPr>
      <w:r>
        <w:rPr>
          <w:rFonts w:ascii="Calibri" w:cs="Calibri" w:eastAsia="Calibri" w:hAnsi="Calibri"/>
          <w:b/>
          <w:bCs/>
          <w:color w:val="14161B"/>
          <w:sz w:val="22"/>
          <w:szCs w:val="22"/>
        </w:rPr>
        <w:t xml:space="preserve">5. EXCLUSIONS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This Agreement does not apply to information which the Receiving Party proves by contemporaneous written records: (a) was lawfully in its possession free of any obligation of confidence before disclosure by the Disclosing Party; (b) is or becomes public knowledge otherwise than through a breach of this Agreement or of any other duty of confidence; (c) is lawfully obtained from a third party entitled to disclose it without restriction; or (d) is independently developed by the Receiving Party without any use of or reference to the Confidential Information.</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burden of establishing that an exclusion applies rests on the Receiving Party. Information does not fall within an exclusion merely because it is embraced by more general information that is excluded, nor because individual elements of a combination are excluded.</w:t>
      </w:r>
    </w:p>
    <w:p>
      <w:pPr>
        <w:keepNext/>
        <w:spacing w:after="120" w:before="280"/>
        <w:outlineLvl w:val="0"/>
      </w:pPr>
      <w:r>
        <w:rPr>
          <w:rFonts w:ascii="Calibri" w:cs="Calibri" w:eastAsia="Calibri" w:hAnsi="Calibri"/>
          <w:b/>
          <w:bCs/>
          <w:color w:val="14161B"/>
          <w:sz w:val="22"/>
          <w:szCs w:val="22"/>
        </w:rPr>
        <w:t xml:space="preserve">6. OWNERSHIP; NO LICENCE</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All Confidential Information, and all intellectual property rights subsisting in it, remain the exclusive property of the Disclosing Party or its licensors. This Agreement grants the Receiving Party no right, title, interest or licence in or to any Confidential Information or intellectual property right, whether express, implied, by estoppel or otherwise, other than the limited right to use the Confidential Information for the Purpose during the term.</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If the Receiving Party creates any Derived Materials, all rights in the Derived Materials vest in the Disclosing Party to the extent they contain or reflect Confidential Information, and the Receiving Party assigns such rights to the Disclosing Party with effect from their creation. The Receiving Party shall execute any further document reasonably required to give effect to this Clause, consistent with Section 19 of the Copyright Act, 1957.</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Disclosing Party gives no representation or warranty as to the accuracy or completeness of the Confidential Information, save in a definitive agreement (if any) subsequently executed between the Parties. This Clause does not exclude liability for fraud.</w:t>
      </w:r>
    </w:p>
    <w:p>
      <w:pPr>
        <w:keepNext/>
        <w:spacing w:after="120" w:before="280"/>
        <w:outlineLvl w:val="0"/>
      </w:pPr>
      <w:r>
        <w:rPr>
          <w:rFonts w:ascii="Calibri" w:cs="Calibri" w:eastAsia="Calibri" w:hAnsi="Calibri"/>
          <w:b/>
          <w:bCs/>
          <w:color w:val="14161B"/>
          <w:sz w:val="22"/>
          <w:szCs w:val="22"/>
        </w:rPr>
        <w:t xml:space="preserve">7. RETURN OR DESTRUCTION</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On the earlier of (a) written demand by the Disclosing Party, (b) completion or abandonment of the Purpose, and (c) expiry or termination of this Agreement, the Receiving Party shall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return to the Disclosing Party or irretrievably destroy (at the Disclosing Party’s election) all Confidential Information and Derived Materials in its possession, custody or control, including all copies, and shall procure that its Representatives do the same.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Receiving Party shall certify compliance with Clause 7.1 in writing, signed by an authorised officer,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completing it.</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Receiving Party may retain Confidential Information only to the extent (a) required by applicable law or by the record-retention requirements of its auditors or professional advisers, or (b) contained in routine, secure, non-user-accessible electronic backups that cannot be selectively deleted without disproportionate effort. Any information so retained remains subject to this Agreement for so long as it is retained.</w:t>
      </w:r>
    </w:p>
    <w:p>
      <w:pPr>
        <w:keepNext/>
        <w:spacing w:after="120" w:before="280"/>
        <w:outlineLvl w:val="0"/>
      </w:pPr>
      <w:r>
        <w:rPr>
          <w:rFonts w:ascii="Calibri" w:cs="Calibri" w:eastAsia="Calibri" w:hAnsi="Calibri"/>
          <w:b/>
          <w:bCs/>
          <w:color w:val="14161B"/>
          <w:sz w:val="22"/>
          <w:szCs w:val="22"/>
        </w:rPr>
        <w:t xml:space="preserve">8. TERM AND SURVIVAL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This Agreement commences on the date first written above and continues for </w:t>
      </w:r>
      <w:r>
        <w:rPr>
          <w:rFonts w:ascii="Calibri" w:cs="Calibri" w:eastAsia="Calibri" w:hAnsi="Calibri"/>
          <w:b/>
          <w:bCs/>
          <w:sz w:val="21"/>
          <w:szCs w:val="21"/>
        </w:rPr>
        <w:t xml:space="preserve">[TERM — e.g. two (2) years]</w:t>
      </w:r>
      <w:r>
        <w:rPr>
          <w:rFonts w:ascii="Calibri" w:cs="Calibri" w:eastAsia="Calibri" w:hAnsi="Calibri"/>
          <w:sz w:val="21"/>
          <w:szCs w:val="21"/>
        </w:rPr>
        <w:t xml:space="preserve">, or until the Purpose is completed or abandoned, whichever is earlier.</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obligations of confidentiality and non-use survive expiry or termination and continue for </w:t>
      </w:r>
      <w:r>
        <w:rPr>
          <w:rFonts w:ascii="Calibri" w:cs="Calibri" w:eastAsia="Calibri" w:hAnsi="Calibri"/>
          <w:b/>
          <w:bCs/>
          <w:sz w:val="21"/>
          <w:szCs w:val="21"/>
        </w:rPr>
        <w:t xml:space="preserve">[SURVIVAL PERIOD — e.g. three (3) years]</w:t>
      </w:r>
      <w:r>
        <w:rPr>
          <w:rFonts w:ascii="Calibri" w:cs="Calibri" w:eastAsia="Calibri" w:hAnsi="Calibri"/>
          <w:sz w:val="21"/>
          <w:szCs w:val="21"/>
        </w:rPr>
        <w:t xml:space="preserve"> thereafter, and indefinitely in respect of any Confidential Information that constitutes a trade secret or source code for so long as it retains that character.</w:t>
      </w:r>
    </w:p>
    <w:p>
      <w:pPr>
        <w:keepNext/>
        <w:spacing w:after="120" w:before="280"/>
        <w:outlineLvl w:val="0"/>
      </w:pPr>
      <w:r>
        <w:rPr>
          <w:rFonts w:ascii="Calibri" w:cs="Calibri" w:eastAsia="Calibri" w:hAnsi="Calibri"/>
          <w:b/>
          <w:bCs/>
          <w:color w:val="14161B"/>
          <w:sz w:val="22"/>
          <w:szCs w:val="22"/>
        </w:rPr>
        <w:t xml:space="preserve">9. NON-SOLICITATION</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For the term of this Agreement and </w:t>
      </w:r>
      <w:r>
        <w:rPr>
          <w:rFonts w:ascii="Calibri" w:cs="Calibri" w:eastAsia="Calibri" w:hAnsi="Calibri"/>
          <w:b/>
          <w:bCs/>
          <w:sz w:val="21"/>
          <w:szCs w:val="21"/>
        </w:rPr>
        <w:t xml:space="preserve">[PERIOD — e.g. twelve (12) months]</w:t>
      </w:r>
      <w:r>
        <w:rPr>
          <w:rFonts w:ascii="Calibri" w:cs="Calibri" w:eastAsia="Calibri" w:hAnsi="Calibri"/>
          <w:sz w:val="21"/>
          <w:szCs w:val="21"/>
        </w:rPr>
        <w:t xml:space="preserve"> thereafter, the Receiving Party shall not directly or indirectly solicit for employment or engagement any employee or contractor of the Disclosing Party whose identity, role or capability became known to it through the Confidential Information or the Purpose, without the Disclosing Party’s prior written consent.</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Clause 9.1 does not restrict general recruitment advertising not targeted at the Disclosing Party’s personnel, or the engagement of a person who responds to such advertising or who approaches the Receiving Party on his or her own initiative.</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i/>
          <w:iCs/>
          <w:color w:val="6E7480"/>
          <w:sz w:val="21"/>
          <w:szCs w:val="21"/>
        </w:rPr>
        <w:t xml:space="preserve">No post-engagement non-compete restriction is included, and none should be added. Section 27 of the Indian Contract Act, 1872 voids agreements in restraint of trade, and a non-compete operating after the relationship ends is generally unenforceable in India.</w:t>
      </w:r>
    </w:p>
    <w:p>
      <w:pPr>
        <w:keepNext/>
        <w:spacing w:after="120" w:before="280"/>
        <w:outlineLvl w:val="0"/>
      </w:pPr>
      <w:r>
        <w:rPr>
          <w:rFonts w:ascii="Calibri" w:cs="Calibri" w:eastAsia="Calibri" w:hAnsi="Calibri"/>
          <w:b/>
          <w:bCs/>
          <w:color w:val="14161B"/>
          <w:sz w:val="22"/>
          <w:szCs w:val="22"/>
        </w:rPr>
        <w:t xml:space="preserve">10. REMEDIES</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The Receiving Party acknowledges that a breach of this Agreement may cause the Disclosing Party loss for which damages would not be an adequate remedy, and that the Disclosing Party shall be entitled to seek injunctive relief, specific performance and other equitable relief, without any requirement to prove special damage or to furnish security, in addition to all other remedies available at law.</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The Parties record that under the Specific Relief Act, 1963 (as amended in 2018) specific performance of a contract is the general rule, and that the Disclosing Party may seek relief under Sections 10, 36 and 38 of that Act.</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The rights and remedies under this Agreement are cumulative and not exclusive of any rights or remedies provided by law.</w:t>
      </w:r>
    </w:p>
    <w:p>
      <w:pPr>
        <w:keepNext/>
        <w:spacing w:after="120" w:before="280"/>
        <w:outlineLvl w:val="0"/>
      </w:pPr>
      <w:r>
        <w:rPr>
          <w:rFonts w:ascii="Calibri" w:cs="Calibri" w:eastAsia="Calibri" w:hAnsi="Calibri"/>
          <w:b/>
          <w:bCs/>
          <w:color w:val="14161B"/>
          <w:sz w:val="22"/>
          <w:szCs w:val="22"/>
        </w:rPr>
        <w:t xml:space="preserve">11. PERSONAL DATA</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Where Confidential Information includes personal data, the Receiving Party shall process it only for the Purpose, shall apply reasonable security safeguards, shall not transfer it to any third party except as permitted by this Agreement, and shall comply with the Digital Personal Data Protection Act, 2023 and the Digital Personal Data Protection Rules, 2025 as applicable to it.</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sz w:val="21"/>
          <w:szCs w:val="21"/>
        </w:rPr>
        <w:t xml:space="preserve">The Receiving Party shall notify the Disclosing Party of any personal data breach without undue delay and in any event within twenty-four (24) hours of becoming aware of it, and shall provide the information the Disclosing Party requires to intimate the Data Protection Board of India and affected Data Principals.</w:t>
      </w:r>
    </w:p>
    <w:p>
      <w:pPr>
        <w:spacing w:after="120" w:before="60" w:line="276"/>
        <w:ind w:left="720" w:hanging="720"/>
        <w:jc w:val="both"/>
      </w:pPr>
      <w:r>
        <w:rPr>
          <w:rFonts w:ascii="Calibri" w:cs="Calibri" w:eastAsia="Calibri" w:hAnsi="Calibri"/>
          <w:sz w:val="21"/>
          <w:szCs w:val="21"/>
        </w:rPr>
        <w:t xml:space="preserve">11.3	</w:t>
      </w:r>
      <w:r>
        <w:rPr>
          <w:rFonts w:ascii="Calibri" w:cs="Calibri" w:eastAsia="Calibri" w:hAnsi="Calibri"/>
          <w:sz w:val="21"/>
          <w:szCs w:val="21"/>
        </w:rPr>
        <w:t xml:space="preserve">If the Receiving Party is to process personal data on behalf of the Disclosing Party on an ongoing basis, the Parties shall execute a data processing agreement as required by Section 8(2) of the Digital Personal Data Protection Act, 2023 before such processing begins.</w:t>
      </w:r>
    </w:p>
    <w:p>
      <w:pPr>
        <w:keepNext/>
        <w:spacing w:after="120" w:before="280"/>
        <w:outlineLvl w:val="0"/>
      </w:pPr>
      <w:r>
        <w:rPr>
          <w:rFonts w:ascii="Calibri" w:cs="Calibri" w:eastAsia="Calibri" w:hAnsi="Calibri"/>
          <w:b/>
          <w:bCs/>
          <w:color w:val="14161B"/>
          <w:sz w:val="22"/>
          <w:szCs w:val="22"/>
        </w:rPr>
        <w:t xml:space="preserve">12. NOTICES</w:t>
      </w:r>
    </w:p>
    <w:p>
      <w:pPr>
        <w:spacing w:after="120" w:before="60" w:line="276"/>
        <w:ind w:left="720" w:hanging="720"/>
        <w:jc w:val="both"/>
      </w:pPr>
      <w:r>
        <w:rPr>
          <w:rFonts w:ascii="Calibri" w:cs="Calibri" w:eastAsia="Calibri" w:hAnsi="Calibri"/>
          <w:sz w:val="21"/>
          <w:szCs w:val="21"/>
        </w:rPr>
        <w:t xml:space="preserve">12.1	</w:t>
      </w:r>
      <w:r>
        <w:rPr>
          <w:rFonts w:ascii="Calibri" w:cs="Calibri" w:eastAsia="Calibri" w:hAnsi="Calibri"/>
          <w:sz w:val="21"/>
          <w:szCs w:val="21"/>
        </w:rPr>
        <w:t xml:space="preserve">Notices shall be in writing in English and delivered by hand, courier, registered post with acknowledgement due, or email to:</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349"/>
        <w:gridCol w:w="4144"/>
        <w:gridCol w:w="4145"/>
      </w:tblGrid>
      <w:tr>
        <w:trPr>
          <w:tblHeader/>
        </w:trPr>
        <w:tc>
          <w:tcPr>
            <w:tcW w:type="dxa" w:w="1349"/>
            <w:shd w:fill="EEF1FE" w:color="auto" w:val="clear"/>
            <w:tcMar>
              <w:top w:type="dxa" w:w="70"/>
              <w:left w:type="dxa" w:w="100"/>
              <w:bottom w:type="dxa" w:w="70"/>
              <w:right w:type="dxa" w:w="100"/>
            </w:tcMar>
            <w:vAlign w:val="center"/>
          </w:tcPr>
          <w:p>
            <w:pPr>
              <w:spacing w:after="0" w:line="240"/>
              <w:jc w:val="left"/>
            </w:pPr>
          </w:p>
        </w:tc>
        <w:tc>
          <w:tcPr>
            <w:tcW w:type="dxa" w:w="41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Disclosing Party</w:t>
            </w:r>
          </w:p>
        </w:tc>
        <w:tc>
          <w:tcPr>
            <w:tcW w:type="dxa" w:w="41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Receiving Party</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Attention</w:t>
            </w:r>
          </w:p>
        </w:tc>
        <w:tc>
          <w:tcPr>
            <w:tcW w:type="dxa" w:w="41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 DESIGNATION]</w:t>
            </w:r>
          </w:p>
        </w:tc>
        <w:tc>
          <w:tcPr>
            <w:tcW w:type="dxa" w:w="41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 DESIGNATION]</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w:t>
            </w:r>
          </w:p>
        </w:tc>
        <w:tc>
          <w:tcPr>
            <w:tcW w:type="dxa" w:w="41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41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Email</w:t>
            </w:r>
          </w:p>
        </w:tc>
        <w:tc>
          <w:tcPr>
            <w:tcW w:type="dxa" w:w="414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41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bl>
    <w:p>
      <w:pPr>
        <w:spacing w:after="120"/>
      </w:pPr>
    </w:p>
    <w:p>
      <w:pPr>
        <w:spacing w:after="120" w:before="60" w:line="276"/>
        <w:ind w:left="720" w:hanging="720"/>
        <w:jc w:val="both"/>
      </w:pPr>
      <w:r>
        <w:rPr>
          <w:rFonts w:ascii="Calibri" w:cs="Calibri" w:eastAsia="Calibri" w:hAnsi="Calibri"/>
          <w:sz w:val="21"/>
          <w:szCs w:val="21"/>
        </w:rPr>
        <w:t xml:space="preserve">12.2	</w:t>
      </w:r>
      <w:r>
        <w:rPr>
          <w:rFonts w:ascii="Calibri" w:cs="Calibri" w:eastAsia="Calibri" w:hAnsi="Calibri"/>
          <w:sz w:val="21"/>
          <w:szCs w:val="21"/>
        </w:rPr>
        <w:t xml:space="preserve">Notices are deemed received on delivery (hand or courier), on the third Business Day after posting (registered post), or at the time of transmission (email, absent a delivery-failure message), provided that a notice received after 6.00 p.m. or on a non-Business Day is deemed received on the next Business Day.</w:t>
      </w:r>
    </w:p>
    <w:p>
      <w:pPr>
        <w:keepNext/>
        <w:spacing w:after="120" w:before="280"/>
        <w:outlineLvl w:val="0"/>
      </w:pPr>
      <w:r>
        <w:rPr>
          <w:rFonts w:ascii="Calibri" w:cs="Calibri" w:eastAsia="Calibri" w:hAnsi="Calibri"/>
          <w:b/>
          <w:bCs/>
          <w:color w:val="14161B"/>
          <w:sz w:val="22"/>
          <w:szCs w:val="22"/>
        </w:rPr>
        <w:t xml:space="preserve">13. GOVERNING LAW AND DISPUTES</w:t>
      </w:r>
    </w:p>
    <w:p>
      <w:pPr>
        <w:spacing w:after="120" w:before="60" w:line="276"/>
        <w:ind w:left="720" w:hanging="720"/>
        <w:jc w:val="both"/>
      </w:pPr>
      <w:r>
        <w:rPr>
          <w:rFonts w:ascii="Calibri" w:cs="Calibri" w:eastAsia="Calibri" w:hAnsi="Calibri"/>
          <w:sz w:val="21"/>
          <w:szCs w:val="21"/>
        </w:rPr>
        <w:t xml:space="preserve">13.1	</w:t>
      </w:r>
      <w:r>
        <w:rPr>
          <w:rFonts w:ascii="Calibri" w:cs="Calibri" w:eastAsia="Calibri" w:hAnsi="Calibri"/>
          <w:sz w:val="21"/>
          <w:szCs w:val="21"/>
        </w:rPr>
        <w:t xml:space="preserve">This Agreement is governed by the laws of India.</w:t>
      </w:r>
    </w:p>
    <w:p>
      <w:pPr>
        <w:spacing w:after="120" w:before="60" w:line="276"/>
        <w:ind w:left="720" w:hanging="720"/>
        <w:jc w:val="both"/>
      </w:pPr>
      <w:r>
        <w:rPr>
          <w:rFonts w:ascii="Calibri" w:cs="Calibri" w:eastAsia="Calibri" w:hAnsi="Calibri"/>
          <w:sz w:val="21"/>
          <w:szCs w:val="21"/>
        </w:rPr>
        <w:t xml:space="preserve">13.2	</w:t>
      </w:r>
      <w:r>
        <w:rPr>
          <w:rFonts w:ascii="Calibri" w:cs="Calibri" w:eastAsia="Calibri" w:hAnsi="Calibri"/>
          <w:sz w:val="21"/>
          <w:szCs w:val="21"/>
        </w:rPr>
        <w:t xml:space="preserve">Any dispute shall be referred to arbitration by a sole arbitrator under the Arbitration and Conciliation Act, 1996. The seat and venue shall be </w:t>
      </w:r>
      <w:r>
        <w:rPr>
          <w:rFonts w:ascii="Calibri" w:cs="Calibri" w:eastAsia="Calibri" w:hAnsi="Calibri"/>
          <w:b/>
          <w:bCs/>
          <w:sz w:val="21"/>
          <w:szCs w:val="21"/>
        </w:rPr>
        <w:t xml:space="preserve">[CITY]</w:t>
      </w:r>
      <w:r>
        <w:rPr>
          <w:rFonts w:ascii="Calibri" w:cs="Calibri" w:eastAsia="Calibri" w:hAnsi="Calibri"/>
          <w:sz w:val="21"/>
          <w:szCs w:val="21"/>
        </w:rPr>
        <w:t xml:space="preserve">, India, and the language shall be English. The award shall be final and binding.</w:t>
      </w:r>
    </w:p>
    <w:p>
      <w:pPr>
        <w:spacing w:after="120" w:before="60" w:line="276"/>
        <w:ind w:left="720" w:hanging="720"/>
        <w:jc w:val="both"/>
      </w:pPr>
      <w:r>
        <w:rPr>
          <w:rFonts w:ascii="Calibri" w:cs="Calibri" w:eastAsia="Calibri" w:hAnsi="Calibri"/>
          <w:sz w:val="21"/>
          <w:szCs w:val="21"/>
        </w:rPr>
        <w:t xml:space="preserve">13.3	</w:t>
      </w:r>
      <w:r>
        <w:rPr>
          <w:rFonts w:ascii="Calibri" w:cs="Calibri" w:eastAsia="Calibri" w:hAnsi="Calibri"/>
          <w:sz w:val="21"/>
          <w:szCs w:val="21"/>
        </w:rPr>
        <w:t xml:space="preserve">Either Party may apply to a competent court for interim relief, including under Section 9 of that Act. Subject to Clause 13.2,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have exclusive jurisdiction.</w:t>
      </w:r>
    </w:p>
    <w:p>
      <w:pPr>
        <w:keepNext/>
        <w:spacing w:after="120" w:before="280"/>
        <w:outlineLvl w:val="0"/>
      </w:pPr>
      <w:r>
        <w:rPr>
          <w:rFonts w:ascii="Calibri" w:cs="Calibri" w:eastAsia="Calibri" w:hAnsi="Calibri"/>
          <w:b/>
          <w:bCs/>
          <w:color w:val="14161B"/>
          <w:sz w:val="22"/>
          <w:szCs w:val="22"/>
        </w:rPr>
        <w:t xml:space="preserve">14. GENERAL</w:t>
      </w:r>
    </w:p>
    <w:p>
      <w:pPr>
        <w:spacing w:after="120" w:before="60" w:line="276"/>
        <w:ind w:left="720" w:hanging="720"/>
        <w:jc w:val="both"/>
      </w:pPr>
      <w:r>
        <w:rPr>
          <w:rFonts w:ascii="Calibri" w:cs="Calibri" w:eastAsia="Calibri" w:hAnsi="Calibri"/>
          <w:sz w:val="21"/>
          <w:szCs w:val="21"/>
        </w:rPr>
        <w:t xml:space="preserve">14.1	</w:t>
      </w:r>
      <w:r>
        <w:rPr>
          <w:rFonts w:ascii="Calibri" w:cs="Calibri" w:eastAsia="Calibri" w:hAnsi="Calibri"/>
          <w:b/>
          <w:bCs/>
          <w:sz w:val="21"/>
          <w:szCs w:val="21"/>
        </w:rPr>
        <w:t xml:space="preserve">Entire agreement.</w:t>
      </w:r>
      <w:r>
        <w:rPr>
          <w:rFonts w:ascii="Calibri" w:cs="Calibri" w:eastAsia="Calibri" w:hAnsi="Calibri"/>
          <w:sz w:val="21"/>
          <w:szCs w:val="21"/>
        </w:rPr>
        <w:t xml:space="preserve"> This Agreement supersedes all prior arrangements between the Parties relating to the confidentiality of information disclosed for the Purpose.</w:t>
      </w:r>
    </w:p>
    <w:p>
      <w:pPr>
        <w:spacing w:after="120" w:before="60" w:line="276"/>
        <w:ind w:left="720" w:hanging="720"/>
        <w:jc w:val="both"/>
      </w:pPr>
      <w:r>
        <w:rPr>
          <w:rFonts w:ascii="Calibri" w:cs="Calibri" w:eastAsia="Calibri" w:hAnsi="Calibri"/>
          <w:sz w:val="21"/>
          <w:szCs w:val="21"/>
        </w:rPr>
        <w:t xml:space="preserve">14.2	</w:t>
      </w:r>
      <w:r>
        <w:rPr>
          <w:rFonts w:ascii="Calibri" w:cs="Calibri" w:eastAsia="Calibri" w:hAnsi="Calibri"/>
          <w:b/>
          <w:bCs/>
          <w:sz w:val="21"/>
          <w:szCs w:val="21"/>
        </w:rPr>
        <w:t xml:space="preserve">Amendment and waiver.</w:t>
      </w:r>
      <w:r>
        <w:rPr>
          <w:rFonts w:ascii="Calibri" w:cs="Calibri" w:eastAsia="Calibri" w:hAnsi="Calibri"/>
          <w:sz w:val="21"/>
          <w:szCs w:val="21"/>
        </w:rPr>
        <w:t xml:space="preserve"> Amendments must be in writing and signed by both Parties. No delay or omission in exercising a right is a waiver of it.</w:t>
      </w:r>
    </w:p>
    <w:p>
      <w:pPr>
        <w:spacing w:after="120" w:before="60" w:line="276"/>
        <w:ind w:left="720" w:hanging="720"/>
        <w:jc w:val="both"/>
      </w:pPr>
      <w:r>
        <w:rPr>
          <w:rFonts w:ascii="Calibri" w:cs="Calibri" w:eastAsia="Calibri" w:hAnsi="Calibri"/>
          <w:sz w:val="21"/>
          <w:szCs w:val="21"/>
        </w:rPr>
        <w:t xml:space="preserve">14.3	</w:t>
      </w:r>
      <w:r>
        <w:rPr>
          <w:rFonts w:ascii="Calibri" w:cs="Calibri" w:eastAsia="Calibri" w:hAnsi="Calibri"/>
          <w:b/>
          <w:bCs/>
          <w:sz w:val="21"/>
          <w:szCs w:val="21"/>
        </w:rPr>
        <w:t xml:space="preserve">Assignment.</w:t>
      </w:r>
      <w:r>
        <w:rPr>
          <w:rFonts w:ascii="Calibri" w:cs="Calibri" w:eastAsia="Calibri" w:hAnsi="Calibri"/>
          <w:sz w:val="21"/>
          <w:szCs w:val="21"/>
        </w:rPr>
        <w:t xml:space="preserve"> The Receiving Party may not assign this Agreement without the Disclosing Party’s prior written consent. The Disclosing Party may assign to an Affiliate or to a successor to its business.</w:t>
      </w:r>
    </w:p>
    <w:p>
      <w:pPr>
        <w:spacing w:after="120" w:before="60" w:line="276"/>
        <w:ind w:left="720" w:hanging="720"/>
        <w:jc w:val="both"/>
      </w:pPr>
      <w:r>
        <w:rPr>
          <w:rFonts w:ascii="Calibri" w:cs="Calibri" w:eastAsia="Calibri" w:hAnsi="Calibri"/>
          <w:sz w:val="21"/>
          <w:szCs w:val="21"/>
        </w:rPr>
        <w:t xml:space="preserve">14.4	</w:t>
      </w:r>
      <w:r>
        <w:rPr>
          <w:rFonts w:ascii="Calibri" w:cs="Calibri" w:eastAsia="Calibri" w:hAnsi="Calibri"/>
          <w:b/>
          <w:bCs/>
          <w:sz w:val="21"/>
          <w:szCs w:val="21"/>
        </w:rPr>
        <w:t xml:space="preserve">Severability.</w:t>
      </w:r>
      <w:r>
        <w:rPr>
          <w:rFonts w:ascii="Calibri" w:cs="Calibri" w:eastAsia="Calibri" w:hAnsi="Calibri"/>
          <w:sz w:val="21"/>
          <w:szCs w:val="21"/>
        </w:rPr>
        <w:t xml:space="preserve"> Invalid provisions shall be severed and the remainder shall continue in effect.</w:t>
      </w:r>
    </w:p>
    <w:p>
      <w:pPr>
        <w:spacing w:after="120" w:before="60" w:line="276"/>
        <w:ind w:left="720" w:hanging="720"/>
        <w:jc w:val="both"/>
      </w:pPr>
      <w:r>
        <w:rPr>
          <w:rFonts w:ascii="Calibri" w:cs="Calibri" w:eastAsia="Calibri" w:hAnsi="Calibri"/>
          <w:sz w:val="21"/>
          <w:szCs w:val="21"/>
        </w:rPr>
        <w:t xml:space="preserve">14.5	</w:t>
      </w:r>
      <w:r>
        <w:rPr>
          <w:rFonts w:ascii="Calibri" w:cs="Calibri" w:eastAsia="Calibri" w:hAnsi="Calibri"/>
          <w:b/>
          <w:bCs/>
          <w:sz w:val="21"/>
          <w:szCs w:val="21"/>
        </w:rPr>
        <w:t xml:space="preserve">Counterparts and electronic execution.</w:t>
      </w:r>
      <w:r>
        <w:rPr>
          <w:rFonts w:ascii="Calibri" w:cs="Calibri" w:eastAsia="Calibri" w:hAnsi="Calibri"/>
          <w:sz w:val="21"/>
          <w:szCs w:val="21"/>
        </w:rPr>
        <w:t xml:space="preserve"> This Agreement may be executed in counterparts and by electronic signature, and shall have legal effect under Section 5 of the Information Technology Act, 2000.</w:t>
      </w:r>
    </w:p>
    <w:p>
      <w:pPr>
        <w:spacing w:after="120" w:before="60" w:line="276"/>
        <w:ind w:left="720" w:hanging="720"/>
        <w:jc w:val="both"/>
      </w:pPr>
      <w:r>
        <w:rPr>
          <w:rFonts w:ascii="Calibri" w:cs="Calibri" w:eastAsia="Calibri" w:hAnsi="Calibri"/>
          <w:sz w:val="21"/>
          <w:szCs w:val="21"/>
        </w:rPr>
        <w:t xml:space="preserve">14.6	</w:t>
      </w:r>
      <w:r>
        <w:rPr>
          <w:rFonts w:ascii="Calibri" w:cs="Calibri" w:eastAsia="Calibri" w:hAnsi="Calibri"/>
          <w:b/>
          <w:bCs/>
          <w:sz w:val="21"/>
          <w:szCs w:val="21"/>
        </w:rPr>
        <w:t xml:space="preserve">No obligation to proceed.</w:t>
      </w:r>
      <w:r>
        <w:rPr>
          <w:rFonts w:ascii="Calibri" w:cs="Calibri" w:eastAsia="Calibri" w:hAnsi="Calibri"/>
          <w:sz w:val="21"/>
          <w:szCs w:val="21"/>
        </w:rPr>
        <w:t xml:space="preserve"> Nothing obliges either Party to disclose information, to continue discussions or to enter into any further agreement.</w:t>
      </w:r>
    </w:p>
    <w:p>
      <w:pPr>
        <w:spacing w:after="120" w:before="60" w:line="276"/>
        <w:ind w:left="720" w:hanging="720"/>
        <w:jc w:val="both"/>
      </w:pPr>
      <w:r>
        <w:rPr>
          <w:rFonts w:ascii="Calibri" w:cs="Calibri" w:eastAsia="Calibri" w:hAnsi="Calibri"/>
          <w:sz w:val="21"/>
          <w:szCs w:val="21"/>
        </w:rPr>
        <w:t xml:space="preserve">14.7	</w:t>
      </w:r>
      <w:r>
        <w:rPr>
          <w:rFonts w:ascii="Calibri" w:cs="Calibri" w:eastAsia="Calibri" w:hAnsi="Calibri"/>
          <w:b/>
          <w:bCs/>
          <w:sz w:val="21"/>
          <w:szCs w:val="21"/>
        </w:rPr>
        <w:t xml:space="preserve">Stamp duty.</w:t>
      </w:r>
      <w:r>
        <w:rPr>
          <w:rFonts w:ascii="Calibri" w:cs="Calibri" w:eastAsia="Calibri" w:hAnsi="Calibri"/>
          <w:sz w:val="21"/>
          <w:szCs w:val="21"/>
        </w:rPr>
        <w:t xml:space="preserve"> Stamp duty, if any, shall be borne by </w:t>
      </w:r>
      <w:r>
        <w:rPr>
          <w:rFonts w:ascii="Calibri" w:cs="Calibri" w:eastAsia="Calibri" w:hAnsi="Calibri"/>
          <w:b/>
          <w:bCs/>
          <w:sz w:val="21"/>
          <w:szCs w:val="21"/>
        </w:rPr>
        <w:t xml:space="preserve">[PARTY BEARING STAMP DUTY]</w:t>
      </w:r>
      <w:r>
        <w:rPr>
          <w:rFonts w:ascii="Calibri" w:cs="Calibri" w:eastAsia="Calibri" w:hAnsi="Calibri"/>
          <w:sz w:val="21"/>
          <w:szCs w:val="21"/>
        </w:rPr>
        <w:t xml:space="preserve">.</w:t>
      </w:r>
    </w:p>
    <w:p>
      <w:pPr>
        <w:spacing w:after="200"/>
      </w:pPr>
    </w:p>
    <w:p>
      <w:pPr>
        <w:spacing w:after="24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and on behalf of </w:t>
            </w:r>
            <w:r>
              <w:rPr>
                <w:rFonts w:ascii="Calibri" w:cs="Calibri" w:eastAsia="Calibri" w:hAnsi="Calibri"/>
                <w:b/>
                <w:bCs/>
                <w:sz w:val="21"/>
                <w:szCs w:val="21"/>
              </w:rPr>
              <w:t xml:space="preserve">[DISCLOSING PARTY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[AUTHORISED SIGNATORY 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and on behalf of </w:t>
            </w:r>
            <w:r>
              <w:rPr>
                <w:rFonts w:ascii="Calibri" w:cs="Calibri" w:eastAsia="Calibri" w:hAnsi="Calibri"/>
                <w:b/>
                <w:bCs/>
                <w:sz w:val="21"/>
                <w:szCs w:val="21"/>
              </w:rPr>
              <w:t xml:space="preserve">[RECEIVING PARTY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[AUTHORISED SIGNATORY 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When to use the one-way version</w:t>
      </w:r>
    </w:p>
    <w:p>
      <w:pPr>
        <w:spacing w:after="60" w:line="264"/>
        <w:jc w:val="both"/>
      </w:pPr>
      <w:r>
        <w:rPr>
          <w:rFonts w:ascii="Calibri" w:cs="Calibri" w:eastAsia="Calibri" w:hAnsi="Calibri"/>
          <w:sz w:val="19"/>
          <w:szCs w:val="19"/>
        </w:rPr>
        <w:t xml:space="preserve">Use this document where information moves in one direction only — a vendor pitching to you, a candidate or consultant being given access to internal systems, an agency briefed on an unreleased launch, or a lender or buyer conducting diligence. If both sides will share sensitive material, use the Mutual Non-Disclosure Agreement instead; a one-way NDA signed by a party who then discloses its own information leaves that information unprotected.</w:t>
      </w:r>
    </w:p>
    <w:p>
      <w:pPr>
        <w:keepNext/>
        <w:spacing w:after="40" w:before="140"/>
      </w:pPr>
      <w:r>
        <w:rPr>
          <w:rFonts w:ascii="Calibri" w:cs="Calibri" w:eastAsia="Calibri" w:hAnsi="Calibri"/>
          <w:b/>
          <w:bCs/>
          <w:color w:val="14161B"/>
          <w:sz w:val="20"/>
          <w:szCs w:val="20"/>
        </w:rPr>
        <w:t xml:space="preserve">Individuals as Receiving Party</w:t>
      </w:r>
    </w:p>
    <w:p>
      <w:pPr>
        <w:spacing w:after="60" w:line="264"/>
        <w:jc w:val="both"/>
      </w:pPr>
      <w:r>
        <w:rPr>
          <w:rFonts w:ascii="Calibri" w:cs="Calibri" w:eastAsia="Calibri" w:hAnsi="Calibri"/>
          <w:sz w:val="19"/>
          <w:szCs w:val="19"/>
        </w:rPr>
        <w:t xml:space="preserve">If the Receiving Party is an individual (a consultant, adviser or candidate), delete the CIN reference, record PAN and address, and drop Clause 3 to a single sentence permitting disclosure only to named professional advisers. Do not rely on this document as a substitute for confidentiality terms in an employment contract or consultancy agreement — use both.</w:t>
      </w:r>
    </w:p>
    <w:p>
      <w:pPr>
        <w:keepNext/>
        <w:spacing w:after="40" w:before="140"/>
      </w:pPr>
      <w:r>
        <w:rPr>
          <w:rFonts w:ascii="Calibri" w:cs="Calibri" w:eastAsia="Calibri" w:hAnsi="Calibri"/>
          <w:b/>
          <w:bCs/>
          <w:color w:val="14161B"/>
          <w:sz w:val="20"/>
          <w:szCs w:val="20"/>
        </w:rPr>
        <w:t xml:space="preserve">Derived Materials and Clause 6.2</w:t>
      </w:r>
    </w:p>
    <w:p>
      <w:pPr>
        <w:spacing w:after="60" w:line="264"/>
        <w:jc w:val="both"/>
      </w:pPr>
      <w:r>
        <w:rPr>
          <w:rFonts w:ascii="Calibri" w:cs="Calibri" w:eastAsia="Calibri" w:hAnsi="Calibri"/>
          <w:sz w:val="19"/>
          <w:szCs w:val="19"/>
        </w:rPr>
        <w:t xml:space="preserve">The assignment of Derived Materials is deliberate: without it, notes and models built by the recipient from your data may belong to the recipient. Note that under Section 19 of the Copyright Act, 1957 an assignment of copyright must be in writing and signed; Clause 6.2 satisfies that requirement but the further-assurance obligation is what you rely on if a specific deed is later needed.</w:t>
      </w:r>
    </w:p>
    <w:p>
      <w:pPr>
        <w:keepNext/>
        <w:spacing w:after="40" w:before="140"/>
      </w:pPr>
      <w:r>
        <w:rPr>
          <w:rFonts w:ascii="Calibri" w:cs="Calibri" w:eastAsia="Calibri" w:hAnsi="Calibri"/>
          <w:b/>
          <w:bCs/>
          <w:color w:val="14161B"/>
          <w:sz w:val="20"/>
          <w:szCs w:val="20"/>
        </w:rPr>
        <w:t xml:space="preserve">Breach notification window</w:t>
      </w:r>
    </w:p>
    <w:p>
      <w:pPr>
        <w:spacing w:after="60" w:line="264"/>
        <w:jc w:val="both"/>
      </w:pPr>
      <w:r>
        <w:rPr>
          <w:rFonts w:ascii="Calibri" w:cs="Calibri" w:eastAsia="Calibri" w:hAnsi="Calibri"/>
          <w:sz w:val="19"/>
          <w:szCs w:val="19"/>
        </w:rPr>
        <w:t xml:space="preserve">Clause 11.2 sets a 24-hour window because the Data Fiduciary’s own obligation under the DPDP framework runs on a short clock. If you are the Disclosing Party, do not lengthen it.</w:t>
      </w:r>
    </w:p>
    <w:p>
      <w:pPr>
        <w:keepNext/>
        <w:spacing w:after="40" w:before="140"/>
      </w:pPr>
      <w:r>
        <w:rPr>
          <w:rFonts w:ascii="Calibri" w:cs="Calibri" w:eastAsia="Calibri" w:hAnsi="Calibri"/>
          <w:b/>
          <w:bCs/>
          <w:color w:val="14161B"/>
          <w:sz w:val="20"/>
          <w:szCs w:val="20"/>
        </w:rPr>
        <w:t xml:space="preserve">Stamp duty</w:t>
      </w:r>
    </w:p>
    <w:p>
      <w:pPr>
        <w:spacing w:after="60" w:line="264"/>
        <w:jc w:val="both"/>
      </w:pPr>
      <w:r>
        <w:rPr>
          <w:rFonts w:ascii="Calibri" w:cs="Calibri" w:eastAsia="Calibri" w:hAnsi="Calibri"/>
          <w:sz w:val="19"/>
          <w:szCs w:val="19"/>
        </w:rPr>
        <w:t xml:space="preserve">Nominal in most States, but the article and rate are State-specific and duty is payable in the State of execution. Where the Receiving Party is overseas, the instrument is chargeable when it is first received in India — stamp it within three months of receipt under Section 18 of the Indian Stamp Act, 1899 or the corresponding State law.</w:t>
      </w:r>
    </w:p>
    <w:p>
      <w:pPr>
        <w:keepNext/>
        <w:spacing w:after="40" w:before="140"/>
      </w:pPr>
      <w:r>
        <w:rPr>
          <w:rFonts w:ascii="Calibri" w:cs="Calibri" w:eastAsia="Calibri" w:hAnsi="Calibri"/>
          <w:b/>
          <w:bCs/>
          <w:color w:val="14161B"/>
          <w:sz w:val="20"/>
          <w:szCs w:val="20"/>
        </w:rPr>
        <w:t xml:space="preserve">Practical enforcement</w:t>
      </w:r>
    </w:p>
    <w:p>
      <w:pPr>
        <w:spacing w:after="60" w:line="264"/>
        <w:jc w:val="both"/>
      </w:pPr>
      <w:r>
        <w:rPr>
          <w:rFonts w:ascii="Calibri" w:cs="Calibri" w:eastAsia="Calibri" w:hAnsi="Calibri"/>
          <w:sz w:val="19"/>
          <w:szCs w:val="19"/>
        </w:rPr>
        <w:t xml:space="preserve">An NDA is only as good as your ability to show what was disclosed and when. Keep a disclosure log — date, medium, recipient, description. Courts asked to grant an injunction will want to see it.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Have it reviewed before you rely on it.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2026-08-21T12:53:52.400Z</dcterms:created>
  <dcterms:modified xsi:type="dcterms:W3CDTF">2026-08-21T12:53:52.400Z</dcterms:modified>
</cp:coreProperties>
</file>

<file path=docProps/custom.xml><?xml version="1.0" encoding="utf-8"?>
<Properties xmlns="http://schemas.openxmlformats.org/officeDocument/2006/custom-properties" xmlns:vt="http://schemas.openxmlformats.org/officeDocument/2006/docPropsVTypes"/>
</file>