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TERM SHEET</w:t>
      </w:r>
    </w:p>
    <w:p>
      <w:pPr>
        <w:spacing w:after="260"/>
        <w:jc w:val="center"/>
      </w:pPr>
      <w:r>
        <w:rPr>
          <w:rFonts w:ascii="Calibri" w:cs="Calibri" w:eastAsia="Calibri" w:hAnsi="Calibri"/>
          <w:i/>
          <w:iCs/>
          <w:color w:val="6E7480"/>
          <w:sz w:val="19"/>
          <w:szCs w:val="19"/>
        </w:rPr>
        <w:t xml:space="preserve">Convertible Instrument — </w:t>
      </w: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This template covers the two convertible structures that work in India: a compulsorily convertible preference share issued on SAFE-like terms (often marketed as an iSAFE), and a convertible note issued by a DPIIT-recognised startup. Choose one at Clause 1 and delete the other. A United States-style SAFE is not a recognised instrument under Indian company law or FEMA and should not be used without adaptation — see the notes.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7325"/>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32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Terms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r>
              <w:rPr>
                <w:rFonts w:ascii="Calibri" w:cs="Calibri" w:eastAsia="Calibri" w:hAnsi="Calibri"/>
                <w:sz w:val="19"/>
                <w:szCs w:val="19"/>
              </w:rPr>
              <w:t xml:space="preserve">, registered office at </w:t>
            </w:r>
            <w:r>
              <w:rPr>
                <w:rFonts w:ascii="Calibri" w:cs="Calibri" w:eastAsia="Calibri" w:hAnsi="Calibri"/>
                <w:b/>
                <w:bCs/>
                <w:sz w:val="19"/>
                <w:szCs w:val="19"/>
              </w:rPr>
              <w:t xml:space="preserve">[ADDRESS]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DPIIT recognition</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[RECOGNITION NUMBER AND DATE]</w:t>
            </w:r>
            <w:r>
              <w:rPr>
                <w:rFonts w:ascii="Calibri" w:cs="Calibri" w:eastAsia="Calibri" w:hAnsi="Calibri"/>
                <w:sz w:val="19"/>
                <w:szCs w:val="19"/>
              </w:rPr>
              <w:t xml:space="preserve"> </w:t>
            </w:r>
            <w:r>
              <w:rPr>
                <w:rFonts w:ascii="Calibri" w:cs="Calibri" w:eastAsia="Calibri" w:hAnsi="Calibri"/>
                <w:i/>
                <w:iCs/>
                <w:sz w:val="19"/>
                <w:szCs w:val="19"/>
              </w:rPr>
              <w:t xml:space="preserve">(required if a convertible note is used)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Founders</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Investor(s)</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Expiry</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Lapses if not signed by </w:t>
            </w:r>
            <w:r>
              <w:rPr>
                <w:rFonts w:ascii="Calibri" w:cs="Calibri" w:eastAsia="Calibri" w:hAnsi="Calibri"/>
                <w:b/>
                <w:bCs/>
                <w:sz w:val="19"/>
                <w:szCs w:val="19"/>
              </w:rPr>
              <w:t xml:space="preserve">[DATE]</w:t>
            </w:r>
          </w:p>
        </w:tc>
      </w:tr>
    </w:tbl>
    <w:p>
      <w:pPr>
        <w:spacing w:after="200"/>
      </w:pPr>
    </w:p>
    <w:p>
      <w:pPr>
        <w:keepNext/>
        <w:spacing w:after="120" w:before="280"/>
        <w:outlineLvl w:val="0"/>
      </w:pPr>
      <w:r>
        <w:rPr>
          <w:rFonts w:ascii="Calibri" w:cs="Calibri" w:eastAsia="Calibri" w:hAnsi="Calibri"/>
          <w:b/>
          <w:bCs/>
          <w:color w:val="14161B"/>
          <w:sz w:val="22"/>
          <w:szCs w:val="22"/>
        </w:rPr>
        <w:t xml:space="preserve">1. INSTRUMENT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Option A — Compulsorily Convertible Preference Shares.</w:t>
      </w:r>
      <w:r>
        <w:rPr>
          <w:rFonts w:ascii="Calibri" w:cs="Calibri" w:eastAsia="Calibri" w:hAnsi="Calibri"/>
          <w:sz w:val="21"/>
          <w:szCs w:val="21"/>
        </w:rPr>
        <w:t xml:space="preserve"> The Investor shall subscribe to </w:t>
      </w:r>
      <w:r>
        <w:rPr>
          <w:rFonts w:ascii="Calibri" w:cs="Calibri" w:eastAsia="Calibri" w:hAnsi="Calibri"/>
          <w:b/>
          <w:bCs/>
          <w:sz w:val="21"/>
          <w:szCs w:val="21"/>
        </w:rPr>
        <w:t xml:space="preserve">[NUMBER]</w:t>
      </w:r>
      <w:r>
        <w:rPr>
          <w:rFonts w:ascii="Calibri" w:cs="Calibri" w:eastAsia="Calibri" w:hAnsi="Calibri"/>
          <w:sz w:val="21"/>
          <w:szCs w:val="21"/>
        </w:rPr>
        <w:t xml:space="preserve"> compulsorily convertible preference shares of face value ₹ </w:t>
      </w:r>
      <w:r>
        <w:rPr>
          <w:rFonts w:ascii="Calibri" w:cs="Calibri" w:eastAsia="Calibri" w:hAnsi="Calibri"/>
          <w:b/>
          <w:bCs/>
          <w:sz w:val="21"/>
          <w:szCs w:val="21"/>
        </w:rPr>
        <w:t xml:space="preserve">[FACE VALUE]</w:t>
      </w:r>
      <w:r>
        <w:rPr>
          <w:rFonts w:ascii="Calibri" w:cs="Calibri" w:eastAsia="Calibri" w:hAnsi="Calibri"/>
          <w:sz w:val="21"/>
          <w:szCs w:val="21"/>
        </w:rPr>
        <w:t xml:space="preserve"> each at an issue price of ₹ </w:t>
      </w:r>
      <w:r>
        <w:rPr>
          <w:rFonts w:ascii="Calibri" w:cs="Calibri" w:eastAsia="Calibri" w:hAnsi="Calibri"/>
          <w:b/>
          <w:bCs/>
          <w:sz w:val="21"/>
          <w:szCs w:val="21"/>
        </w:rPr>
        <w:t xml:space="preserve">[PRICE]</w:t>
      </w:r>
      <w:r>
        <w:rPr>
          <w:rFonts w:ascii="Calibri" w:cs="Calibri" w:eastAsia="Calibri" w:hAnsi="Calibri"/>
          <w:sz w:val="21"/>
          <w:szCs w:val="21"/>
        </w:rPr>
        <w:t xml:space="preserve"> each, aggregating ₹ </w:t>
      </w:r>
      <w:r>
        <w:rPr>
          <w:rFonts w:ascii="Calibri" w:cs="Calibri" w:eastAsia="Calibri" w:hAnsi="Calibri"/>
          <w:b/>
          <w:bCs/>
          <w:sz w:val="21"/>
          <w:szCs w:val="21"/>
        </w:rPr>
        <w:t xml:space="preserve">[AMOUNT]</w:t>
      </w:r>
      <w:r>
        <w:rPr>
          <w:rFonts w:ascii="Calibri" w:cs="Calibri" w:eastAsia="Calibri" w:hAnsi="Calibri"/>
          <w:sz w:val="21"/>
          <w:szCs w:val="21"/>
        </w:rPr>
        <w:t xml:space="preserve">. The CCPS shall carry a nominal preferential dividend of </w:t>
      </w:r>
      <w:r>
        <w:rPr>
          <w:rFonts w:ascii="Calibri" w:cs="Calibri" w:eastAsia="Calibri" w:hAnsi="Calibri"/>
          <w:b/>
          <w:bCs/>
          <w:sz w:val="21"/>
          <w:szCs w:val="21"/>
        </w:rPr>
        <w:t xml:space="preserve">[0.001]</w:t>
      </w:r>
      <w:r>
        <w:rPr>
          <w:rFonts w:ascii="Calibri" w:cs="Calibri" w:eastAsia="Calibri" w:hAnsi="Calibri"/>
          <w:sz w:val="21"/>
          <w:szCs w:val="21"/>
        </w:rPr>
        <w:t xml:space="preserve"> per cent per annum, shall convert on the terms in Clause 3, and shall in any event convert no later than </w:t>
      </w:r>
      <w:r>
        <w:rPr>
          <w:rFonts w:ascii="Calibri" w:cs="Calibri" w:eastAsia="Calibri" w:hAnsi="Calibri"/>
          <w:b/>
          <w:bCs/>
          <w:sz w:val="21"/>
          <w:szCs w:val="21"/>
        </w:rPr>
        <w:t xml:space="preserve">[NUMBER]</w:t>
      </w:r>
      <w:r>
        <w:rPr>
          <w:rFonts w:ascii="Calibri" w:cs="Calibri" w:eastAsia="Calibri" w:hAnsi="Calibri"/>
          <w:sz w:val="21"/>
          <w:szCs w:val="21"/>
        </w:rPr>
        <w:t xml:space="preserve"> years from allotment.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Option B — Convertible Note.</w:t>
      </w:r>
      <w:r>
        <w:rPr>
          <w:rFonts w:ascii="Calibri" w:cs="Calibri" w:eastAsia="Calibri" w:hAnsi="Calibri"/>
          <w:sz w:val="21"/>
          <w:szCs w:val="21"/>
        </w:rPr>
        <w:t xml:space="preserve"> The Investor shall subscribe to a convertible note of principal amount ₹ </w:t>
      </w:r>
      <w:r>
        <w:rPr>
          <w:rFonts w:ascii="Calibri" w:cs="Calibri" w:eastAsia="Calibri" w:hAnsi="Calibri"/>
          <w:b/>
          <w:bCs/>
          <w:sz w:val="21"/>
          <w:szCs w:val="21"/>
        </w:rPr>
        <w:t xml:space="preserve">[AMOUNT]</w:t>
      </w:r>
      <w:r>
        <w:rPr>
          <w:rFonts w:ascii="Calibri" w:cs="Calibri" w:eastAsia="Calibri" w:hAnsi="Calibri"/>
          <w:sz w:val="21"/>
          <w:szCs w:val="21"/>
        </w:rPr>
        <w:t xml:space="preserve">, being not less than ₹ 25,00,000 in a single tranche, issued by the Company as a DPIIT-recognised startup. The note shall carry simple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w:t>
      </w:r>
      <w:r>
        <w:rPr>
          <w:rFonts w:ascii="Calibri" w:cs="Calibri" w:eastAsia="Calibri" w:hAnsi="Calibri"/>
          <w:i/>
          <w:iCs/>
          <w:sz w:val="21"/>
          <w:szCs w:val="21"/>
        </w:rPr>
        <w:t xml:space="preserve">(a commercial decision — many Indian notes carry a nominal or nil rate; interest, if any, accrues and converts rather than being paid)</w:t>
      </w:r>
      <w:r>
        <w:rPr>
          <w:rFonts w:ascii="Calibri" w:cs="Calibri" w:eastAsia="Calibri" w:hAnsi="Calibri"/>
          <w:sz w:val="21"/>
          <w:szCs w:val="21"/>
        </w:rPr>
        <w:t xml:space="preserve">, shall convert on the terms in Clause 3, and shall convert into or be repaid within </w:t>
      </w:r>
      <w:r>
        <w:rPr>
          <w:rFonts w:ascii="Calibri" w:cs="Calibri" w:eastAsia="Calibri" w:hAnsi="Calibri"/>
          <w:b/>
          <w:bCs/>
          <w:sz w:val="21"/>
          <w:szCs w:val="21"/>
        </w:rPr>
        <w:t xml:space="preserve">[NUMBER]</w:t>
      </w:r>
      <w:r>
        <w:rPr>
          <w:rFonts w:ascii="Calibri" w:cs="Calibri" w:eastAsia="Calibri" w:hAnsi="Calibri"/>
          <w:sz w:val="21"/>
          <w:szCs w:val="21"/>
        </w:rPr>
        <w:t xml:space="preserve"> years from the date of issue, not exceeding the maximum period permitted under the Companies (Acceptance of Deposits) Rules, 2014.</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b/>
          <w:bCs/>
          <w:sz w:val="21"/>
          <w:szCs w:val="21"/>
        </w:rPr>
        <w:t xml:space="preserve">Aggregate round.</w:t>
      </w:r>
      <w:r>
        <w:rPr>
          <w:rFonts w:ascii="Calibri" w:cs="Calibri" w:eastAsia="Calibri" w:hAnsi="Calibri"/>
          <w:sz w:val="21"/>
          <w:szCs w:val="21"/>
        </w:rPr>
        <w:t xml:space="preserve"> The Company may issue further instruments on substantially the same terms up to an aggregate of ₹ </w:t>
      </w:r>
      <w:r>
        <w:rPr>
          <w:rFonts w:ascii="Calibri" w:cs="Calibri" w:eastAsia="Calibri" w:hAnsi="Calibri"/>
          <w:b/>
          <w:bCs/>
          <w:sz w:val="21"/>
          <w:szCs w:val="21"/>
        </w:rPr>
        <w:t xml:space="preserve">[ROUND CAP]</w:t>
      </w:r>
      <w:r>
        <w:rPr>
          <w:rFonts w:ascii="Calibri" w:cs="Calibri" w:eastAsia="Calibri" w:hAnsi="Calibri"/>
          <w:sz w:val="21"/>
          <w:szCs w:val="21"/>
        </w:rPr>
        <w:t xml:space="preserve">. Instruments issued after the date of this term sheet on terms more favourable to any investor shall be offered to the Investor on those terms.</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b/>
          <w:bCs/>
          <w:sz w:val="21"/>
          <w:szCs w:val="21"/>
        </w:rPr>
        <w:t xml:space="preserve">Security and ranking.</w:t>
      </w:r>
      <w:r>
        <w:rPr>
          <w:rFonts w:ascii="Calibri" w:cs="Calibri" w:eastAsia="Calibri" w:hAnsi="Calibri"/>
          <w:sz w:val="21"/>
          <w:szCs w:val="21"/>
        </w:rPr>
        <w:t xml:space="preserve"> The instrument is unsecured. On a Liquidation Event before conversion, the Investor shall rank </w:t>
      </w:r>
      <w:r>
        <w:rPr>
          <w:rFonts w:ascii="Calibri" w:cs="Calibri" w:eastAsia="Calibri" w:hAnsi="Calibri"/>
          <w:b/>
          <w:bCs/>
          <w:sz w:val="21"/>
          <w:szCs w:val="21"/>
        </w:rPr>
        <w:t xml:space="preserve">[ahead of the Equity Shares / as an unsecured creditor in the case of a note]</w:t>
      </w:r>
      <w:r>
        <w:rPr>
          <w:rFonts w:ascii="Calibri" w:cs="Calibri" w:eastAsia="Calibri" w:hAnsi="Calibri"/>
          <w:sz w:val="21"/>
          <w:szCs w:val="21"/>
        </w:rPr>
        <w:t xml:space="preserve"> and shall be entitled to the greater of the amount invested and the amount receivable on conversion at the Valuation Cap.</w:t>
      </w:r>
    </w:p>
    <w:p>
      <w:pPr>
        <w:keepNext/>
        <w:spacing w:after="120" w:before="280"/>
        <w:outlineLvl w:val="0"/>
      </w:pPr>
      <w:r>
        <w:rPr>
          <w:rFonts w:ascii="Calibri" w:cs="Calibri" w:eastAsia="Calibri" w:hAnsi="Calibri"/>
          <w:b/>
          <w:bCs/>
          <w:color w:val="14161B"/>
          <w:sz w:val="22"/>
          <w:szCs w:val="22"/>
        </w:rPr>
        <w:t xml:space="preserve">2. ECONOMICS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Term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Position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Investment amount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w:t>
            </w:r>
            <w:r>
              <w:rPr>
                <w:rFonts w:ascii="Calibri" w:cs="Calibri" w:eastAsia="Calibri" w:hAnsi="Calibri"/>
                <w:i/>
                <w:iCs/>
                <w:sz w:val="19"/>
                <w:szCs w:val="19"/>
              </w:rPr>
              <w:t xml:space="preserve">(a commercial decision — specify)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Valuation Cap</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[CAP]</w:t>
            </w:r>
            <w:r>
              <w:rPr>
                <w:rFonts w:ascii="Calibri" w:cs="Calibri" w:eastAsia="Calibri" w:hAnsi="Calibri"/>
                <w:sz w:val="19"/>
                <w:szCs w:val="19"/>
              </w:rPr>
              <w:t xml:space="preserve"> on a fully diluted, pre-money basis </w:t>
            </w:r>
            <w:r>
              <w:rPr>
                <w:rFonts w:ascii="Calibri" w:cs="Calibri" w:eastAsia="Calibri" w:hAnsi="Calibri"/>
                <w:i/>
                <w:iCs/>
                <w:sz w:val="19"/>
                <w:szCs w:val="19"/>
              </w:rPr>
              <w:t xml:space="preserve">(a commercial decision — specify)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Discount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 per cent to the price per share paid in the Qualified Financing </w:t>
            </w:r>
            <w:r>
              <w:rPr>
                <w:rFonts w:ascii="Calibri" w:cs="Calibri" w:eastAsia="Calibri" w:hAnsi="Calibri"/>
                <w:i/>
                <w:iCs/>
                <w:sz w:val="19"/>
                <w:szCs w:val="19"/>
              </w:rPr>
              <w:t xml:space="preserve">(a commercial decision — typically 15 to 25 per cent)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Application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Investor converts at the </w:t>
            </w:r>
            <w:r>
              <w:rPr>
                <w:rFonts w:ascii="Calibri" w:cs="Calibri" w:eastAsia="Calibri" w:hAnsi="Calibri"/>
                <w:b/>
                <w:bCs/>
                <w:sz w:val="19"/>
                <w:szCs w:val="19"/>
              </w:rPr>
              <w:t xml:space="preserve">lower</w:t>
            </w:r>
            <w:r>
              <w:rPr>
                <w:rFonts w:ascii="Calibri" w:cs="Calibri" w:eastAsia="Calibri" w:hAnsi="Calibri"/>
                <w:sz w:val="19"/>
                <w:szCs w:val="19"/>
              </w:rPr>
              <w:t xml:space="preserve"> of the Valuation Cap price and the discounted Qualified Financing price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[RATE]</w:t>
            </w:r>
            <w:r>
              <w:rPr>
                <w:rFonts w:ascii="Calibri" w:cs="Calibri" w:eastAsia="Calibri" w:hAnsi="Calibri"/>
                <w:sz w:val="19"/>
                <w:szCs w:val="19"/>
              </w:rPr>
              <w:t xml:space="preserve"> per cent per annum, simple, accruing and converting with principal </w:t>
            </w:r>
            <w:r>
              <w:rPr>
                <w:rFonts w:ascii="Calibri" w:cs="Calibri" w:eastAsia="Calibri" w:hAnsi="Calibri"/>
                <w:i/>
                <w:iCs/>
                <w:sz w:val="19"/>
                <w:szCs w:val="19"/>
              </w:rPr>
              <w:t xml:space="preserve">(notes only)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Maturity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years from issue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Most favoured nation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If any instrument is issued in the same round on terms more favourable, those terms apply to the Investor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 rata right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Investor may invest up to ₹ </w:t>
            </w:r>
            <w:r>
              <w:rPr>
                <w:rFonts w:ascii="Calibri" w:cs="Calibri" w:eastAsia="Calibri" w:hAnsi="Calibri"/>
                <w:b/>
                <w:bCs/>
                <w:sz w:val="19"/>
                <w:szCs w:val="19"/>
              </w:rPr>
              <w:t xml:space="preserve">[AMOUNT]</w:t>
            </w:r>
            <w:r>
              <w:rPr>
                <w:rFonts w:ascii="Calibri" w:cs="Calibri" w:eastAsia="Calibri" w:hAnsi="Calibri"/>
                <w:sz w:val="19"/>
                <w:szCs w:val="19"/>
              </w:rPr>
              <w:t xml:space="preserve"> in the Qualified Financing on the same terms, in addition to conversion</w:t>
            </w:r>
          </w:p>
        </w:tc>
      </w:tr>
    </w:tbl>
    <w:p>
      <w:pPr>
        <w:keepNext/>
        <w:spacing w:after="120" w:before="280"/>
        <w:outlineLvl w:val="0"/>
      </w:pPr>
      <w:r>
        <w:rPr>
          <w:rFonts w:ascii="Calibri" w:cs="Calibri" w:eastAsia="Calibri" w:hAnsi="Calibri"/>
          <w:b/>
          <w:bCs/>
          <w:color w:val="14161B"/>
          <w:sz w:val="22"/>
          <w:szCs w:val="22"/>
        </w:rPr>
        <w:t xml:space="preserve">3. CONVERSION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Qualified Financing</w:t>
      </w:r>
      <w:r>
        <w:rPr>
          <w:rFonts w:ascii="Calibri" w:cs="Calibri" w:eastAsia="Calibri" w:hAnsi="Calibri"/>
          <w:sz w:val="21"/>
          <w:szCs w:val="21"/>
        </w:rPr>
        <w:t xml:space="preserve"> means the next equity or preferred financing of the Company raising gross proceeds of not less than ₹ </w:t>
      </w:r>
      <w:r>
        <w:rPr>
          <w:rFonts w:ascii="Calibri" w:cs="Calibri" w:eastAsia="Calibri" w:hAnsi="Calibri"/>
          <w:b/>
          <w:bCs/>
          <w:sz w:val="21"/>
          <w:szCs w:val="21"/>
        </w:rPr>
        <w:t xml:space="preserve">[THRESHOLD]</w:t>
      </w:r>
      <w:r>
        <w:rPr>
          <w:rFonts w:ascii="Calibri" w:cs="Calibri" w:eastAsia="Calibri" w:hAnsi="Calibri"/>
          <w:sz w:val="21"/>
          <w:szCs w:val="21"/>
        </w:rPr>
        <w:t xml:space="preserve"> from one or more investors, excluding the conversion of this and any other convertible instrument.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Automatic conversion.</w:t>
      </w:r>
      <w:r>
        <w:rPr>
          <w:rFonts w:ascii="Calibri" w:cs="Calibri" w:eastAsia="Calibri" w:hAnsi="Calibri"/>
          <w:sz w:val="21"/>
          <w:szCs w:val="21"/>
        </w:rPr>
        <w:t xml:space="preserve"> On the closing of a Qualified Financing, the invested amount </w:t>
      </w:r>
      <w:r>
        <w:rPr>
          <w:rFonts w:ascii="Calibri" w:cs="Calibri" w:eastAsia="Calibri" w:hAnsi="Calibri"/>
          <w:b/>
          <w:bCs/>
          <w:sz w:val="21"/>
          <w:szCs w:val="21"/>
        </w:rPr>
        <w:t xml:space="preserve">[together with accrued interest]</w:t>
      </w:r>
      <w:r>
        <w:rPr>
          <w:rFonts w:ascii="Calibri" w:cs="Calibri" w:eastAsia="Calibri" w:hAnsi="Calibri"/>
          <w:sz w:val="21"/>
          <w:szCs w:val="21"/>
        </w:rPr>
        <w:t xml:space="preserve"> shall automatically convert into equity shares or preference shares of the class issued in that financing, at a price per share equal to the lower of:</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Valuation Cap divided by the fully diluted share capital of the Company immediately before the Qualified Financing (including the unallocated employee stock option pool and this instrument’s conversion shares, but excluding shares issued in the Qualified Financing); and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price per share paid by investors in the Qualified Financing, less the Discount.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Non-qualified financing.</w:t>
      </w:r>
      <w:r>
        <w:rPr>
          <w:rFonts w:ascii="Calibri" w:cs="Calibri" w:eastAsia="Calibri" w:hAnsi="Calibri"/>
          <w:sz w:val="21"/>
          <w:szCs w:val="21"/>
        </w:rPr>
        <w:t xml:space="preserve"> If the Company raises equity funding that does not meet the Qualified Financing threshold, the Investor may elect to convert on the terms of Clause 3.2 applied to that financing.</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Liquidity Event.</w:t>
      </w:r>
      <w:r>
        <w:rPr>
          <w:rFonts w:ascii="Calibri" w:cs="Calibri" w:eastAsia="Calibri" w:hAnsi="Calibri"/>
          <w:sz w:val="21"/>
          <w:szCs w:val="21"/>
        </w:rPr>
        <w:t xml:space="preserve"> If a Liquidation Event occurs before conversion, the Investor shall be entitled, at its option, to receive the greater of (a) the amount invested </w:t>
      </w:r>
      <w:r>
        <w:rPr>
          <w:rFonts w:ascii="Calibri" w:cs="Calibri" w:eastAsia="Calibri" w:hAnsi="Calibri"/>
          <w:b/>
          <w:bCs/>
          <w:sz w:val="21"/>
          <w:szCs w:val="21"/>
        </w:rPr>
        <w:t xml:space="preserve">[plus accrued interest]</w:t>
      </w:r>
      <w:r>
        <w:rPr>
          <w:rFonts w:ascii="Calibri" w:cs="Calibri" w:eastAsia="Calibri" w:hAnsi="Calibri"/>
          <w:sz w:val="21"/>
          <w:szCs w:val="21"/>
        </w:rPr>
        <w:t xml:space="preserve">, and (b) the amount it would have received had it converted immediately before that event at the Valuation Cap price.</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b/>
          <w:bCs/>
          <w:sz w:val="21"/>
          <w:szCs w:val="21"/>
        </w:rPr>
        <w:t xml:space="preserve">Maturity.</w:t>
      </w:r>
      <w:r>
        <w:rPr>
          <w:rFonts w:ascii="Calibri" w:cs="Calibri" w:eastAsia="Calibri" w:hAnsi="Calibri"/>
          <w:sz w:val="21"/>
          <w:szCs w:val="21"/>
        </w:rPr>
        <w:t xml:space="preserve"> If no Qualified Financing or Liquidation Event has occurred by the maturity date, the Investor may elect to (a) convert at the Valuation Cap price applied to the fully diluted capital at that date, (b) extend the maturity by written notice, or (c) in the case of a note, require repayment of principal </w:t>
      </w:r>
      <w:r>
        <w:rPr>
          <w:rFonts w:ascii="Calibri" w:cs="Calibri" w:eastAsia="Calibri" w:hAnsi="Calibri"/>
          <w:b/>
          <w:bCs/>
          <w:sz w:val="21"/>
          <w:szCs w:val="21"/>
        </w:rPr>
        <w:t xml:space="preserve">[and accrued interest]</w:t>
      </w:r>
      <w:r>
        <w:rPr>
          <w:rFonts w:ascii="Calibri" w:cs="Calibri" w:eastAsia="Calibri" w:hAnsi="Calibri"/>
          <w:sz w:val="21"/>
          <w:szCs w:val="21"/>
        </w:rPr>
        <w:t xml:space="preserve">. </w:t>
      </w:r>
      <w:r>
        <w:rPr>
          <w:rFonts w:ascii="Calibri" w:cs="Calibri" w:eastAsia="Calibri" w:hAnsi="Calibri"/>
          <w:i/>
          <w:iCs/>
          <w:sz w:val="21"/>
          <w:szCs w:val="21"/>
        </w:rPr>
        <w:t xml:space="preserve">(A conversion default is the ordinary outcome; a note that is actually repaid at maturity is rare and the Company should model whether it could.)</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Floor.</w:t>
      </w:r>
      <w:r>
        <w:rPr>
          <w:rFonts w:ascii="Calibri" w:cs="Calibri" w:eastAsia="Calibri" w:hAnsi="Calibri"/>
          <w:sz w:val="21"/>
          <w:szCs w:val="21"/>
        </w:rPr>
        <w:t xml:space="preserve"> No share shall be issued at a price below its face value. If the conversion formula would produce a price below face value, the price shall be the face value and the shortfall in the Investor’s entitlement shall be made up by the issue of additional shares to the extent lawful, failing which the parties shall agree an alternative structure.</w:t>
      </w:r>
    </w:p>
    <w:p>
      <w:pPr>
        <w:spacing w:after="120" w:before="60" w:line="276"/>
        <w:ind w:left="720" w:hanging="720"/>
        <w:jc w:val="both"/>
      </w:pPr>
      <w:r>
        <w:rPr>
          <w:rFonts w:ascii="Calibri" w:cs="Calibri" w:eastAsia="Calibri" w:hAnsi="Calibri"/>
          <w:sz w:val="21"/>
          <w:szCs w:val="21"/>
        </w:rPr>
        <w:t xml:space="preserve">3.7	</w:t>
      </w:r>
      <w:r>
        <w:rPr>
          <w:rFonts w:ascii="Calibri" w:cs="Calibri" w:eastAsia="Calibri" w:hAnsi="Calibri"/>
          <w:b/>
          <w:bCs/>
          <w:sz w:val="21"/>
          <w:szCs w:val="21"/>
        </w:rPr>
        <w:t xml:space="preserve">Pricing floor for non-residents.</w:t>
      </w:r>
      <w:r>
        <w:rPr>
          <w:rFonts w:ascii="Calibri" w:cs="Calibri" w:eastAsia="Calibri" w:hAnsi="Calibri"/>
          <w:sz w:val="21"/>
          <w:szCs w:val="21"/>
        </w:rPr>
        <w:t xml:space="preserve"> Where the Investor is a person resident outside India, the conversion price shall not be less than the fair market value determined in accordance with the pricing guidelines under the Foreign Exchange Management (Non-debt Instruments) Rules, 2019, certified as required by those Rules, as at the date of conversion. The Valuation Cap and Discount shall apply only to the extent they produce a price at or above that floor.</w:t>
      </w:r>
    </w:p>
    <w:p>
      <w:pPr>
        <w:spacing w:after="120" w:before="60" w:line="276"/>
        <w:ind w:left="720" w:hanging="720"/>
        <w:jc w:val="both"/>
      </w:pPr>
      <w:r>
        <w:rPr>
          <w:rFonts w:ascii="Calibri" w:cs="Calibri" w:eastAsia="Calibri" w:hAnsi="Calibri"/>
          <w:sz w:val="21"/>
          <w:szCs w:val="21"/>
        </w:rPr>
        <w:t xml:space="preserve">3.8	</w:t>
      </w:r>
      <w:r>
        <w:rPr>
          <w:rFonts w:ascii="Calibri" w:cs="Calibri" w:eastAsia="Calibri" w:hAnsi="Calibri"/>
          <w:b/>
          <w:bCs/>
          <w:sz w:val="21"/>
          <w:szCs w:val="21"/>
        </w:rPr>
        <w:t xml:space="preserve">Documentation on conversion.</w:t>
      </w:r>
      <w:r>
        <w:rPr>
          <w:rFonts w:ascii="Calibri" w:cs="Calibri" w:eastAsia="Calibri" w:hAnsi="Calibri"/>
          <w:sz w:val="21"/>
          <w:szCs w:val="21"/>
        </w:rPr>
        <w:t xml:space="preserve"> On conversion, the Investor shall execute the transaction documents entered into by investors in the Qualified Financing, and shall be entitled to the same rights as those investors in respect of the shares issued to it, save that the Investor shall not be required to give warranties other than as to its own title, capacity and authority.</w:t>
      </w:r>
    </w:p>
    <w:p>
      <w:pPr>
        <w:spacing w:after="0" w:before="0" w:line="1"/>
      </w:pPr>
      <w:r>
        <w:br w:type="page"/>
      </w:r>
    </w:p>
    <w:p>
      <w:pPr>
        <w:keepNext/>
        <w:spacing w:after="100" w:before="200"/>
        <w:outlineLvl w:val="1"/>
      </w:pPr>
      <w:r>
        <w:rPr>
          <w:rFonts w:ascii="Calibri" w:cs="Calibri" w:eastAsia="Calibri" w:hAnsi="Calibri"/>
          <w:b/>
          <w:bCs/>
          <w:color w:val="14161B"/>
          <w:sz w:val="21"/>
          <w:szCs w:val="21"/>
        </w:rPr>
        <w:t xml:space="preserve">Worked example</w:t>
      </w:r>
    </w:p>
    <w:p>
      <w:pPr>
        <w:spacing w:after="120" w:before="0" w:line="276"/>
        <w:jc w:val="both"/>
      </w:pPr>
      <w:r>
        <w:rPr>
          <w:rFonts w:ascii="Calibri" w:cs="Calibri" w:eastAsia="Calibri" w:hAnsi="Calibri"/>
          <w:sz w:val="21"/>
          <w:szCs w:val="21"/>
        </w:rPr>
        <w:t xml:space="preserve">The example below is illustrative. Replace it or delete it before circulating.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975"/>
        <w:gridCol w:w="3663"/>
      </w:tblGrid>
      <w:tr>
        <w:trPr>
          <w:tblHeader/>
        </w:trPr>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Assumption</w:t>
            </w:r>
          </w:p>
        </w:tc>
        <w:tc>
          <w:tcPr>
            <w:tcW w:type="dxa" w:w="366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Investment</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2,00,00,000</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Valuation Cap</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20,00,00,000 pre-money, fully diluted</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Discount</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20 per cent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Fully diluted shares before the round</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10,00,000</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Qualified Financing pre-money valuation</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40,00,00,000</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Qualified Financing price per share</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400</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Cap price</w:t>
            </w:r>
            <w:r>
              <w:rPr>
                <w:rFonts w:ascii="Calibri" w:cs="Calibri" w:eastAsia="Calibri" w:hAnsi="Calibri"/>
                <w:sz w:val="19"/>
                <w:szCs w:val="19"/>
              </w:rPr>
              <w:t xml:space="preserve"> (₹ 20,00,00,000 ÷ 10,00,000)</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200</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Discounted round price</w:t>
            </w:r>
            <w:r>
              <w:rPr>
                <w:rFonts w:ascii="Calibri" w:cs="Calibri" w:eastAsia="Calibri" w:hAnsi="Calibri"/>
                <w:sz w:val="19"/>
                <w:szCs w:val="19"/>
              </w:rPr>
              <w:t xml:space="preserve"> (₹ 400 less 20 per cent)</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320</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Conversion price — the lower of the two</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200</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Shares issued on conversion (₹ 2,00,00,000 ÷ ₹ 200)</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1,00,000</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discount to the round price</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50 per cent</w:t>
            </w:r>
          </w:p>
        </w:tc>
      </w:tr>
    </w:tbl>
    <w:p>
      <w:pPr>
        <w:spacing w:after="140"/>
      </w:pPr>
    </w:p>
    <w:p>
      <w:pPr>
        <w:spacing w:after="160" w:before="0" w:line="276"/>
        <w:jc w:val="both"/>
      </w:pPr>
      <w:r>
        <w:rPr>
          <w:rFonts w:ascii="Calibri" w:cs="Calibri" w:eastAsia="Calibri" w:hAnsi="Calibri"/>
          <w:i/>
          <w:iCs/>
          <w:sz w:val="21"/>
          <w:szCs w:val="21"/>
        </w:rPr>
        <w:t xml:space="preserve">The example shows why the Valuation Cap, not the Discount, is usually the operative term. If the next round prices below the cap, the Discount governs instead. Model both before agreeing either.</w:t>
      </w:r>
    </w:p>
    <w:p>
      <w:pPr>
        <w:keepNext/>
        <w:spacing w:after="120" w:before="280"/>
        <w:outlineLvl w:val="0"/>
      </w:pPr>
      <w:r>
        <w:rPr>
          <w:rFonts w:ascii="Calibri" w:cs="Calibri" w:eastAsia="Calibri" w:hAnsi="Calibri"/>
          <w:b/>
          <w:bCs/>
          <w:color w:val="14161B"/>
          <w:sz w:val="22"/>
          <w:szCs w:val="22"/>
        </w:rPr>
        <w:t xml:space="preserve">4. INVESTOR RIGHTS BEFORE CONVERSION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Information.</w:t>
      </w:r>
      <w:r>
        <w:rPr>
          <w:rFonts w:ascii="Calibri" w:cs="Calibri" w:eastAsia="Calibri" w:hAnsi="Calibri"/>
          <w:sz w:val="21"/>
          <w:szCs w:val="21"/>
        </w:rPr>
        <w:t xml:space="preserve"> The Company shall provide the Investor with annual audited financial statements within </w:t>
      </w:r>
      <w:r>
        <w:rPr>
          <w:rFonts w:ascii="Calibri" w:cs="Calibri" w:eastAsia="Calibri" w:hAnsi="Calibri"/>
          <w:b/>
          <w:bCs/>
          <w:sz w:val="21"/>
          <w:szCs w:val="21"/>
        </w:rPr>
        <w:t xml:space="preserve">[90]</w:t>
      </w:r>
      <w:r>
        <w:rPr>
          <w:rFonts w:ascii="Calibri" w:cs="Calibri" w:eastAsia="Calibri" w:hAnsi="Calibri"/>
          <w:sz w:val="21"/>
          <w:szCs w:val="21"/>
        </w:rPr>
        <w:t xml:space="preserve"> days of the financial year end and quarterly management accounts within </w:t>
      </w:r>
      <w:r>
        <w:rPr>
          <w:rFonts w:ascii="Calibri" w:cs="Calibri" w:eastAsia="Calibri" w:hAnsi="Calibri"/>
          <w:b/>
          <w:bCs/>
          <w:sz w:val="21"/>
          <w:szCs w:val="21"/>
        </w:rPr>
        <w:t xml:space="preserve">[30]</w:t>
      </w:r>
      <w:r>
        <w:rPr>
          <w:rFonts w:ascii="Calibri" w:cs="Calibri" w:eastAsia="Calibri" w:hAnsi="Calibri"/>
          <w:sz w:val="21"/>
          <w:szCs w:val="21"/>
        </w:rPr>
        <w:t xml:space="preserve"> days of quarter end, and shall notify the Investor of any Liquidation Event, any proposed financing, and any material adverse development.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No governance rights.</w:t>
      </w:r>
      <w:r>
        <w:rPr>
          <w:rFonts w:ascii="Calibri" w:cs="Calibri" w:eastAsia="Calibri" w:hAnsi="Calibri"/>
          <w:sz w:val="21"/>
          <w:szCs w:val="21"/>
        </w:rPr>
        <w:t xml:space="preserve"> The Investor shall not be entitled to a Board seat, an observer seat or veto rights before conversion, save that the Company shall not, without the Investor’s written consent, amend the terms of this instrument, issue any instrument senior to it, or declare a dividend.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Transfer.</w:t>
      </w:r>
      <w:r>
        <w:rPr>
          <w:rFonts w:ascii="Calibri" w:cs="Calibri" w:eastAsia="Calibri" w:hAnsi="Calibri"/>
          <w:sz w:val="21"/>
          <w:szCs w:val="21"/>
        </w:rPr>
        <w:t xml:space="preserve"> The Investor may transfer the instrument to an affiliate on notice, and otherwise only with the Company’s consent, not to be unreasonably withheld, and subject to applicable law.</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Founder undertakings.</w:t>
      </w:r>
      <w:r>
        <w:rPr>
          <w:rFonts w:ascii="Calibri" w:cs="Calibri" w:eastAsia="Calibri" w:hAnsi="Calibri"/>
          <w:sz w:val="21"/>
          <w:szCs w:val="21"/>
        </w:rPr>
        <w:t xml:space="preserve"> Until conversion or repayment, the Founders shall devote their full time to the Company, shall not transfer their shares without consent, and shall procure that all intellectual property is owned by the Company.</w:t>
      </w:r>
    </w:p>
    <w:p>
      <w:pPr>
        <w:keepNext/>
        <w:spacing w:after="120" w:before="280"/>
        <w:outlineLvl w:val="0"/>
      </w:pPr>
      <w:r>
        <w:rPr>
          <w:rFonts w:ascii="Calibri" w:cs="Calibri" w:eastAsia="Calibri" w:hAnsi="Calibri"/>
          <w:b/>
          <w:bCs/>
          <w:color w:val="14161B"/>
          <w:sz w:val="22"/>
          <w:szCs w:val="22"/>
        </w:rPr>
        <w:t xml:space="preserve">5. CONDITIONS AND PROCESS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Conditions precedent.</w:t>
      </w:r>
      <w:r>
        <w:rPr>
          <w:rFonts w:ascii="Calibri" w:cs="Calibri" w:eastAsia="Calibri" w:hAnsi="Calibri"/>
          <w:sz w:val="21"/>
          <w:szCs w:val="21"/>
        </w:rPr>
        <w:t xml:space="preserve"> Board approval; shareholder approval by special resolution where required, including under Section 62(3) of the Companies Act, 2013 for a convertible note; a valuation report where required; amendment of the Articles of Association if necessary; execution of the definitive instrument; and, for a non-resident Investor, confirmation that the Company’s sector permits the investment under the automatic route.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Filings.</w:t>
      </w:r>
      <w:r>
        <w:rPr>
          <w:rFonts w:ascii="Calibri" w:cs="Calibri" w:eastAsia="Calibri" w:hAnsi="Calibri"/>
          <w:sz w:val="21"/>
          <w:szCs w:val="21"/>
        </w:rPr>
        <w:t xml:space="preserve"> The Company shall make all filings required on issue, including MGT-14 where a special resolution is passed, PAS-3 on allotment of shares, and, where the Investor is a non-resident, Form CN with the authorised dealer bank within 30 days of issue of a convertible note, and Form FC-GPR within 30 days of allotment of shares on conversion.</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Expenses.</w:t>
      </w:r>
      <w:r>
        <w:rPr>
          <w:rFonts w:ascii="Calibri" w:cs="Calibri" w:eastAsia="Calibri" w:hAnsi="Calibri"/>
          <w:sz w:val="21"/>
          <w:szCs w:val="21"/>
        </w:rPr>
        <w:t xml:space="preserve"> Each party shall bear its own costs. </w:t>
      </w:r>
      <w:r>
        <w:rPr>
          <w:rFonts w:ascii="Calibri" w:cs="Calibri" w:eastAsia="Calibri" w:hAnsi="Calibri"/>
          <w:i/>
          <w:iCs/>
          <w:sz w:val="21"/>
          <w:szCs w:val="21"/>
        </w:rPr>
        <w:t xml:space="preserve">(Convertible rounds are usually documented without the Company paying investor costs — resist a cost-reimbursement clause at this stage.)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Timetable.</w:t>
      </w:r>
      <w:r>
        <w:rPr>
          <w:rFonts w:ascii="Calibri" w:cs="Calibri" w:eastAsia="Calibri" w:hAnsi="Calibri"/>
          <w:sz w:val="21"/>
          <w:szCs w:val="21"/>
        </w:rPr>
        <w:t xml:space="preserve"> Definitive documents by </w:t>
      </w:r>
      <w:r>
        <w:rPr>
          <w:rFonts w:ascii="Calibri" w:cs="Calibri" w:eastAsia="Calibri" w:hAnsi="Calibri"/>
          <w:b/>
          <w:bCs/>
          <w:sz w:val="21"/>
          <w:szCs w:val="21"/>
        </w:rPr>
        <w:t xml:space="preserve">[DATE]</w:t>
      </w:r>
      <w:r>
        <w:rPr>
          <w:rFonts w:ascii="Calibri" w:cs="Calibri" w:eastAsia="Calibri" w:hAnsi="Calibri"/>
          <w:sz w:val="21"/>
          <w:szCs w:val="21"/>
        </w:rPr>
        <w:t xml:space="preserve">; funding by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6. BINDING PROVISIONS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Only this Clause 6 is binding. The remainder records the parties’ intentions and does not oblige any party to proceed.</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Confidentiality.</w:t>
      </w:r>
      <w:r>
        <w:rPr>
          <w:rFonts w:ascii="Calibri" w:cs="Calibri" w:eastAsia="Calibri" w:hAnsi="Calibri"/>
          <w:sz w:val="21"/>
          <w:szCs w:val="21"/>
        </w:rPr>
        <w:t xml:space="preserve"> No party shall disclose the existence or terms of this term sheet except to professional advisers or as required by law.</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Exclusivity.</w:t>
      </w:r>
      <w:r>
        <w:rPr>
          <w:rFonts w:ascii="Calibri" w:cs="Calibri" w:eastAsia="Calibri" w:hAnsi="Calibri"/>
          <w:sz w:val="21"/>
          <w:szCs w:val="21"/>
        </w:rPr>
        <w:t xml:space="preserve"> </w:t>
      </w:r>
      <w:r>
        <w:rPr>
          <w:rFonts w:ascii="Calibri" w:cs="Calibri" w:eastAsia="Calibri" w:hAnsi="Calibri"/>
          <w:b/>
          <w:bCs/>
          <w:i/>
          <w:iCs/>
          <w:sz w:val="21"/>
          <w:szCs w:val="21"/>
        </w:rPr>
        <w:t xml:space="preserve">[Include only if the Investor requires it. Convertible rounds are frequently raised on a rolling basis and exclusivity may prevent the Company from closing the round.]</w:t>
      </w:r>
      <w:r>
        <w:rPr>
          <w:rFonts w:ascii="Calibri" w:cs="Calibri" w:eastAsia="Calibri" w:hAnsi="Calibri"/>
          <w:sz w:val="21"/>
          <w:szCs w:val="21"/>
        </w:rPr>
        <w:t xml:space="preserve"> For </w:t>
      </w:r>
      <w:r>
        <w:rPr>
          <w:rFonts w:ascii="Calibri" w:cs="Calibri" w:eastAsia="Calibri" w:hAnsi="Calibri"/>
          <w:b/>
          <w:bCs/>
          <w:sz w:val="21"/>
          <w:szCs w:val="21"/>
        </w:rPr>
        <w:t xml:space="preserve">[NUMBER]</w:t>
      </w:r>
      <w:r>
        <w:rPr>
          <w:rFonts w:ascii="Calibri" w:cs="Calibri" w:eastAsia="Calibri" w:hAnsi="Calibri"/>
          <w:sz w:val="21"/>
          <w:szCs w:val="21"/>
        </w:rPr>
        <w:t xml:space="preserve"> days the Company shall not solicit or accept an offer of investment from any other person.</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Governing law.</w:t>
      </w:r>
      <w:r>
        <w:rPr>
          <w:rFonts w:ascii="Calibri" w:cs="Calibri" w:eastAsia="Calibri" w:hAnsi="Calibri"/>
          <w:sz w:val="21"/>
          <w:szCs w:val="21"/>
        </w:rPr>
        <w:t xml:space="preserve"> Indian law. Disputes shall be referred to arbitration seated at </w:t>
      </w:r>
      <w:r>
        <w:rPr>
          <w:rFonts w:ascii="Calibri" w:cs="Calibri" w:eastAsia="Calibri" w:hAnsi="Calibri"/>
          <w:b/>
          <w:bCs/>
          <w:sz w:val="21"/>
          <w:szCs w:val="21"/>
        </w:rPr>
        <w:t xml:space="preserve">[CITY]</w:t>
      </w:r>
      <w:r>
        <w:rPr>
          <w:rFonts w:ascii="Calibri" w:cs="Calibri" w:eastAsia="Calibri" w:hAnsi="Calibri"/>
          <w:sz w:val="21"/>
          <w:szCs w:val="21"/>
        </w:rPr>
        <w:t xml:space="preserve"> under the Arbitration and Conciliation Act, 1996 before a sole arbitrator.</w:t>
      </w:r>
    </w:p>
    <w:p>
      <w:pPr>
        <w:spacing w:after="26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[INVESTOR]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United States SAFE does not work in India as drafted</w:t>
      </w:r>
    </w:p>
    <w:p>
      <w:pPr>
        <w:spacing w:after="60" w:line="264"/>
        <w:jc w:val="both"/>
      </w:pPr>
      <w:r>
        <w:rPr>
          <w:rFonts w:ascii="Calibri" w:cs="Calibri" w:eastAsia="Calibri" w:hAnsi="Calibri"/>
          <w:sz w:val="19"/>
          <w:szCs w:val="19"/>
        </w:rPr>
        <w:t xml:space="preserve">A SAFE is neither a share nor a debenture nor a deposit under Indian law. Money received against an instrument that is not a recognised security sits awkwardly: from a resident it risks being characterised as a deposit under Sections 73 to 76 of the Companies Act, 2013, and from a non-resident it risks being treated as an external commercial borrowing, since it is not an equity instrument under the NDI Rules. The two workable routes are a compulsorily convertible preference share issued on SAFE-like economics, or, for a DPIIT-recognised startup, a convertible note. Instruments marketed as an iSAFE are almost always CCPS with a cap and a discount.</w:t>
      </w:r>
    </w:p>
    <w:p>
      <w:pPr>
        <w:keepNext/>
        <w:spacing w:after="40" w:before="140"/>
      </w:pPr>
      <w:r>
        <w:rPr>
          <w:rFonts w:ascii="Calibri" w:cs="Calibri" w:eastAsia="Calibri" w:hAnsi="Calibri"/>
          <w:b/>
          <w:bCs/>
          <w:color w:val="14161B"/>
          <w:sz w:val="20"/>
          <w:szCs w:val="20"/>
        </w:rPr>
        <w:t xml:space="preserve">Convertible note conditions</w:t>
      </w:r>
    </w:p>
    <w:p>
      <w:pPr>
        <w:spacing w:after="60" w:line="264"/>
        <w:jc w:val="both"/>
      </w:pPr>
      <w:r>
        <w:rPr>
          <w:rFonts w:ascii="Calibri" w:cs="Calibri" w:eastAsia="Calibri" w:hAnsi="Calibri"/>
          <w:sz w:val="19"/>
          <w:szCs w:val="19"/>
        </w:rPr>
        <w:t xml:space="preserve">A convertible note is exempt from the deposit rules only if the amount received from a person in a single tranche is not less than ₹ 25 lakh and the note converts into equity shares or is repaid within the maximum period prescribed. That period was originally five years and was extended to ten. Older commentary still cites five years, so confirm the position in the Rules as they stand on the date of issue rather than relying on secondary sources. The issuer must be a DPIIT-recognised startup; a company that is not recognised cannot use this route at all.</w:t>
      </w:r>
    </w:p>
    <w:p>
      <w:pPr>
        <w:keepNext/>
        <w:spacing w:after="40" w:before="140"/>
      </w:pPr>
      <w:r>
        <w:rPr>
          <w:rFonts w:ascii="Calibri" w:cs="Calibri" w:eastAsia="Calibri" w:hAnsi="Calibri"/>
          <w:b/>
          <w:bCs/>
          <w:color w:val="14161B"/>
          <w:sz w:val="20"/>
          <w:szCs w:val="20"/>
        </w:rPr>
        <w:t xml:space="preserve">Non-resident investors in notes</w:t>
      </w:r>
    </w:p>
    <w:p>
      <w:pPr>
        <w:spacing w:after="60" w:line="264"/>
        <w:jc w:val="both"/>
      </w:pPr>
      <w:r>
        <w:rPr>
          <w:rFonts w:ascii="Calibri" w:cs="Calibri" w:eastAsia="Calibri" w:hAnsi="Calibri"/>
          <w:sz w:val="19"/>
          <w:szCs w:val="19"/>
        </w:rPr>
        <w:t xml:space="preserve">Where the noteholder is a person resident outside India, the additional conditions are that the startup is DPIIT-recognised, the sector permits foreign investment under the automatic route, the minimum of ₹ 25 lakh per tranche is met, Form CN is filed with the authorised dealer bank within 30 days of issue, and conversion complies with the FEMA pricing floor with Form FC-GPR filed within 30 days of allotment. A note that is neither converted nor repaid within the permitted period is a FEMA contravention requiring compounding.</w:t>
      </w:r>
    </w:p>
    <w:p>
      <w:pPr>
        <w:keepNext/>
        <w:spacing w:after="40" w:before="140"/>
      </w:pPr>
      <w:r>
        <w:rPr>
          <w:rFonts w:ascii="Calibri" w:cs="Calibri" w:eastAsia="Calibri" w:hAnsi="Calibri"/>
          <w:b/>
          <w:bCs/>
          <w:color w:val="14161B"/>
          <w:sz w:val="20"/>
          <w:szCs w:val="20"/>
        </w:rPr>
        <w:t xml:space="preserve">The pricing floor breaks the cap</w:t>
      </w:r>
    </w:p>
    <w:p>
      <w:pPr>
        <w:spacing w:after="60" w:line="264"/>
        <w:jc w:val="both"/>
      </w:pPr>
      <w:r>
        <w:rPr>
          <w:rFonts w:ascii="Calibri" w:cs="Calibri" w:eastAsia="Calibri" w:hAnsi="Calibri"/>
          <w:sz w:val="19"/>
          <w:szCs w:val="19"/>
        </w:rPr>
        <w:t xml:space="preserve">This is the most common structural failure in Indian convertible rounds. A valuation cap set low relative to the next round produces a conversion price that may fall below the fair market value certified at the time of conversion. For a resident investor that is not a problem. For a non-resident it is: the conversion cannot lawfully happen at that price. Clause 3.7 makes the floor explicit. Raise it with counsel at the term sheet stage, not at conversion, when the round is closing and there is no time to restructure.</w:t>
      </w:r>
    </w:p>
    <w:p>
      <w:pPr>
        <w:keepNext/>
        <w:spacing w:after="40" w:before="140"/>
      </w:pPr>
      <w:r>
        <w:rPr>
          <w:rFonts w:ascii="Calibri" w:cs="Calibri" w:eastAsia="Calibri" w:hAnsi="Calibri"/>
          <w:b/>
          <w:bCs/>
          <w:color w:val="14161B"/>
          <w:sz w:val="20"/>
          <w:szCs w:val="20"/>
        </w:rPr>
        <w:t xml:space="preserve">Face value floor</w:t>
      </w:r>
    </w:p>
    <w:p>
      <w:pPr>
        <w:spacing w:after="60" w:line="264"/>
        <w:jc w:val="both"/>
      </w:pPr>
      <w:r>
        <w:rPr>
          <w:rFonts w:ascii="Calibri" w:cs="Calibri" w:eastAsia="Calibri" w:hAnsi="Calibri"/>
          <w:sz w:val="19"/>
          <w:szCs w:val="19"/>
        </w:rPr>
        <w:t xml:space="preserve">Shares cannot be issued at a discount to face value. Companies with a ₹ 10 face value and an aggressive cap can find the formula producing a sub-₹ 10 price. Keeping the face value at ₹ 1 at incorporation avoids the problem entirely and costs nothing.</w:t>
      </w:r>
    </w:p>
    <w:p>
      <w:pPr>
        <w:keepNext/>
        <w:spacing w:after="40" w:before="140"/>
      </w:pPr>
      <w:r>
        <w:rPr>
          <w:rFonts w:ascii="Calibri" w:cs="Calibri" w:eastAsia="Calibri" w:hAnsi="Calibri"/>
          <w:b/>
          <w:bCs/>
          <w:color w:val="14161B"/>
          <w:sz w:val="20"/>
          <w:szCs w:val="20"/>
        </w:rPr>
        <w:t xml:space="preserve">Angel tax no longer bites</w:t>
      </w:r>
    </w:p>
    <w:p>
      <w:pPr>
        <w:spacing w:after="60" w:line="264"/>
        <w:jc w:val="both"/>
      </w:pPr>
      <w:r>
        <w:rPr>
          <w:rFonts w:ascii="Calibri" w:cs="Calibri" w:eastAsia="Calibri" w:hAnsi="Calibri"/>
          <w:sz w:val="19"/>
          <w:szCs w:val="19"/>
        </w:rPr>
        <w:t xml:space="preserve">Section 56(2)(viib) of the Income-tax Act, 1961 was omitted with effect from assessment year 2025-26 and has not been carried into the Income-tax Act, 2025. Conversion at a price below the then fair market value no longer creates a tax charge in the Company’s hands. Investors converting at a discount should still consider their own position, and a defensible valuation record remains worth keeping.</w:t>
      </w:r>
    </w:p>
    <w:p>
      <w:pPr>
        <w:keepNext/>
        <w:spacing w:after="40" w:before="140"/>
      </w:pPr>
      <w:r>
        <w:rPr>
          <w:rFonts w:ascii="Calibri" w:cs="Calibri" w:eastAsia="Calibri" w:hAnsi="Calibri"/>
          <w:b/>
          <w:bCs/>
          <w:color w:val="14161B"/>
          <w:sz w:val="20"/>
          <w:szCs w:val="20"/>
        </w:rPr>
        <w:t xml:space="preserve">Cap and discount interact, they do not stack</w:t>
      </w:r>
    </w:p>
    <w:p>
      <w:pPr>
        <w:spacing w:after="60" w:line="264"/>
        <w:jc w:val="both"/>
      </w:pPr>
      <w:r>
        <w:rPr>
          <w:rFonts w:ascii="Calibri" w:cs="Calibri" w:eastAsia="Calibri" w:hAnsi="Calibri"/>
          <w:sz w:val="19"/>
          <w:szCs w:val="19"/>
        </w:rPr>
        <w:t xml:space="preserve">The Investor takes the lower of the two prices, not both. Investors occasionally ask for the cap price less the discount. That is a materially different deal. Say which applies in Clause 3.2 and run the worked example with the actual numbers before signing.</w:t>
      </w:r>
    </w:p>
    <w:p>
      <w:pPr>
        <w:keepNext/>
        <w:spacing w:after="40" w:before="140"/>
      </w:pPr>
      <w:r>
        <w:rPr>
          <w:rFonts w:ascii="Calibri" w:cs="Calibri" w:eastAsia="Calibri" w:hAnsi="Calibri"/>
          <w:b/>
          <w:bCs/>
          <w:color w:val="14161B"/>
          <w:sz w:val="20"/>
          <w:szCs w:val="20"/>
        </w:rPr>
        <w:t xml:space="preserve">Fully diluted, and what is in it</w:t>
      </w:r>
    </w:p>
    <w:p>
      <w:pPr>
        <w:spacing w:after="60" w:line="264"/>
        <w:jc w:val="both"/>
      </w:pPr>
      <w:r>
        <w:rPr>
          <w:rFonts w:ascii="Calibri" w:cs="Calibri" w:eastAsia="Calibri" w:hAnsi="Calibri"/>
          <w:sz w:val="19"/>
          <w:szCs w:val="19"/>
        </w:rPr>
        <w:t xml:space="preserve">Whether the unallocated option pool and the other convertible instruments count in the denominator when applying the cap changes the conversion price significantly. Clause 3.2(a) resolves it one way; investors will often push the other way. Whichever is agreed, define it in one sentence and do not leave it to the definitive documents.</w:t>
      </w:r>
    </w:p>
    <w:p>
      <w:pPr>
        <w:keepNext/>
        <w:spacing w:after="40" w:before="140"/>
      </w:pPr>
      <w:r>
        <w:rPr>
          <w:rFonts w:ascii="Calibri" w:cs="Calibri" w:eastAsia="Calibri" w:hAnsi="Calibri"/>
          <w:b/>
          <w:bCs/>
          <w:color w:val="14161B"/>
          <w:sz w:val="20"/>
          <w:szCs w:val="20"/>
        </w:rPr>
        <w:t xml:space="preserve">Most favoured nation</w:t>
      </w:r>
    </w:p>
    <w:p>
      <w:pPr>
        <w:spacing w:after="60" w:line="264"/>
        <w:jc w:val="both"/>
      </w:pPr>
      <w:r>
        <w:rPr>
          <w:rFonts w:ascii="Calibri" w:cs="Calibri" w:eastAsia="Calibri" w:hAnsi="Calibri"/>
          <w:sz w:val="19"/>
          <w:szCs w:val="19"/>
        </w:rPr>
        <w:t xml:space="preserve">On a rolling convertible round, later investors frequently negotiate a lower cap. An MFN clause protects the early investor and is cheap for the Company to give. It also disciplines the Company against quietly improving terms mid-round.</w:t>
      </w:r>
    </w:p>
    <w:p>
      <w:pPr>
        <w:keepNext/>
        <w:spacing w:after="40" w:before="140"/>
      </w:pPr>
      <w:r>
        <w:rPr>
          <w:rFonts w:ascii="Calibri" w:cs="Calibri" w:eastAsia="Calibri" w:hAnsi="Calibri"/>
          <w:b/>
          <w:bCs/>
          <w:color w:val="14161B"/>
          <w:sz w:val="20"/>
          <w:szCs w:val="20"/>
        </w:rPr>
        <w:t xml:space="preserve">Interest on notes</w:t>
      </w:r>
    </w:p>
    <w:p>
      <w:pPr>
        <w:spacing w:after="60" w:line="264"/>
        <w:jc w:val="both"/>
      </w:pPr>
      <w:r>
        <w:rPr>
          <w:rFonts w:ascii="Calibri" w:cs="Calibri" w:eastAsia="Calibri" w:hAnsi="Calibri"/>
          <w:sz w:val="19"/>
          <w:szCs w:val="19"/>
        </w:rPr>
        <w:t xml:space="preserve">Interest, if charged, is taxable in the investor’s hands and attracts tax deduction at source under the withholding provisions of the Income-tax Act, 2025, which consolidated the former 194-series into a single section with effect from 1 April 2026. Many Indian notes carry nil or nominal interest precisely to avoid this. If interest accrues and converts, deal with the withholding position expressly.</w:t>
      </w:r>
    </w:p>
    <w:p>
      <w:pPr>
        <w:keepNext/>
        <w:spacing w:after="40" w:before="140"/>
      </w:pPr>
      <w:r>
        <w:rPr>
          <w:rFonts w:ascii="Calibri" w:cs="Calibri" w:eastAsia="Calibri" w:hAnsi="Calibri"/>
          <w:b/>
          <w:bCs/>
          <w:color w:val="14161B"/>
          <w:sz w:val="20"/>
          <w:szCs w:val="20"/>
        </w:rPr>
        <w:t xml:space="preserve">Stamp duty</w:t>
      </w:r>
    </w:p>
    <w:p>
      <w:pPr>
        <w:spacing w:after="60" w:line="264"/>
        <w:jc w:val="both"/>
      </w:pPr>
      <w:r>
        <w:rPr>
          <w:rFonts w:ascii="Calibri" w:cs="Calibri" w:eastAsia="Calibri" w:hAnsi="Calibri"/>
          <w:sz w:val="19"/>
          <w:szCs w:val="19"/>
        </w:rPr>
        <w:t xml:space="preserve">Duty on issue of securities is charged at 0.005 per cent under the Indian Stamp Act, 1899 as amended, collected through the depository or registrar where the securities are dematerialised. The note or subscription agreement itself attracts State-specific duty — check the article for an agreement or a bond, as applicable, in the State of execution.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deposit rules, the NDI Rules and DPIIT recognition criteria all change — verify before issue and have the definitive instrument drafted by counsel.</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2026-08-21T12:53:53.084Z</dcterms:created>
  <dcterms:modified xsi:type="dcterms:W3CDTF">2026-08-21T12:53:53.084Z</dcterms:modified>
</cp:coreProperties>
</file>

<file path=docProps/custom.xml><?xml version="1.0" encoding="utf-8"?>
<Properties xmlns="http://schemas.openxmlformats.org/officeDocument/2006/custom-properties" xmlns:vt="http://schemas.openxmlformats.org/officeDocument/2006/docPropsVTypes"/>
</file>