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TERM SHEET</w:t>
      </w:r>
    </w:p>
    <w:p>
      <w:pPr>
        <w:spacing w:after="260"/>
        <w:jc w:val="center"/>
      </w:pPr>
      <w:r>
        <w:rPr>
          <w:rFonts w:ascii="Calibri" w:cs="Calibri" w:eastAsia="Calibri" w:hAnsi="Calibri"/>
          <w:i/>
          <w:iCs/>
          <w:color w:val="6E7480"/>
          <w:sz w:val="19"/>
          <w:szCs w:val="19"/>
        </w:rPr>
        <w:t xml:space="preserve">Series </w:t>
      </w:r>
      <w:r>
        <w:rPr>
          <w:rFonts w:ascii="Calibri" w:cs="Calibri" w:eastAsia="Calibri" w:hAnsi="Calibri"/>
          <w:b/>
          <w:bCs/>
          <w:i/>
          <w:iCs/>
          <w:color w:val="6E7480"/>
          <w:sz w:val="19"/>
          <w:szCs w:val="19"/>
        </w:rPr>
        <w:t xml:space="preserve">[SERIES]</w:t>
      </w:r>
      <w:r>
        <w:rPr>
          <w:rFonts w:ascii="Calibri" w:cs="Calibri" w:eastAsia="Calibri" w:hAnsi="Calibri"/>
          <w:i/>
          <w:iCs/>
          <w:color w:val="6E7480"/>
          <w:sz w:val="19"/>
          <w:szCs w:val="19"/>
        </w:rPr>
        <w:t xml:space="preserve"> Preferred Round — </w:t>
      </w: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This term sheet is non-binding except for the clauses expressly stated to be binding. It is a summary of the principal terms on which the Investors are prepared to proceed, and is not an offer capable of acceptance. Definitive documents — a Share Subscription Agreement and a Shareholders’ Agreement — will govern the investment.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7518"/>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751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Terms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a private limited company incorporated under the Companies Act, 2013, CIN </w:t>
            </w:r>
            <w:r>
              <w:rPr>
                <w:rFonts w:ascii="Calibri" w:cs="Calibri" w:eastAsia="Calibri" w:hAnsi="Calibri"/>
                <w:b/>
                <w:bCs/>
                <w:sz w:val="19"/>
                <w:szCs w:val="19"/>
              </w:rPr>
              <w:t xml:space="preserve">[CIN]</w:t>
            </w:r>
            <w:r>
              <w:rPr>
                <w:rFonts w:ascii="Calibri" w:cs="Calibri" w:eastAsia="Calibri" w:hAnsi="Calibri"/>
                <w:sz w:val="19"/>
                <w:szCs w:val="19"/>
              </w:rPr>
              <w:t xml:space="preserve">, registered office at </w:t>
            </w:r>
            <w:r>
              <w:rPr>
                <w:rFonts w:ascii="Calibri" w:cs="Calibri" w:eastAsia="Calibri" w:hAnsi="Calibri"/>
                <w:b/>
                <w:bCs/>
                <w:sz w:val="19"/>
                <w:szCs w:val="19"/>
              </w:rPr>
              <w:t xml:space="preserve">[ADDRESS]</w:t>
            </w:r>
            <w:r>
              <w:rPr>
                <w:rFonts w:ascii="Calibri" w:cs="Calibri" w:eastAsia="Calibri" w:hAnsi="Calibri"/>
                <w:sz w:val="19"/>
                <w:szCs w:val="19"/>
              </w:rPr>
              <w:t xml:space="preserve"> (the "Company")</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Founders</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1]</w:t>
            </w:r>
            <w:r>
              <w:rPr>
                <w:rFonts w:ascii="Calibri" w:cs="Calibri" w:eastAsia="Calibri" w:hAnsi="Calibri"/>
                <w:sz w:val="19"/>
                <w:szCs w:val="19"/>
              </w:rPr>
              <w:t xml:space="preserve">, </w:t>
            </w:r>
            <w:r>
              <w:rPr>
                <w:rFonts w:ascii="Calibri" w:cs="Calibri" w:eastAsia="Calibri" w:hAnsi="Calibri"/>
                <w:b/>
                <w:bCs/>
                <w:sz w:val="19"/>
                <w:szCs w:val="19"/>
              </w:rPr>
              <w:t xml:space="preserve">[NAME 2]</w:t>
            </w:r>
            <w:r>
              <w:rPr>
                <w:rFonts w:ascii="Calibri" w:cs="Calibri" w:eastAsia="Calibri" w:hAnsi="Calibri"/>
                <w:sz w:val="19"/>
                <w:szCs w:val="19"/>
              </w:rPr>
              <w:t xml:space="preserve">, </w:t>
            </w:r>
            <w:r>
              <w:rPr>
                <w:rFonts w:ascii="Calibri" w:cs="Calibri" w:eastAsia="Calibri" w:hAnsi="Calibri"/>
                <w:b/>
                <w:bCs/>
                <w:sz w:val="19"/>
                <w:szCs w:val="19"/>
              </w:rPr>
              <w:t xml:space="preserve">[NAME 3]</w:t>
            </w:r>
            <w:r>
              <w:rPr>
                <w:rFonts w:ascii="Calibri" w:cs="Calibri" w:eastAsia="Calibri" w:hAnsi="Calibri"/>
                <w:sz w:val="19"/>
                <w:szCs w:val="19"/>
              </w:rPr>
              <w:t xml:space="preserve"> (together, the "Founders")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Lead Investor</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[LEAD INVESTOR]</w:t>
            </w:r>
            <w:r>
              <w:rPr>
                <w:rFonts w:ascii="Calibri" w:cs="Calibri" w:eastAsia="Calibri" w:hAnsi="Calibri"/>
                <w:sz w:val="19"/>
                <w:szCs w:val="19"/>
              </w:rPr>
              <w:t xml:space="preserve"> (the "Lead Investor")</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Other Investors</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r>
              <w:rPr>
                <w:rFonts w:ascii="Calibri" w:cs="Calibri" w:eastAsia="Calibri" w:hAnsi="Calibri"/>
                <w:sz w:val="19"/>
                <w:szCs w:val="19"/>
              </w:rPr>
              <w:t xml:space="preserve"> (with the Lead Investor, the "Investors")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Expiry</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This term sheet lapses if not signed by </w:t>
            </w:r>
            <w:r>
              <w:rPr>
                <w:rFonts w:ascii="Calibri" w:cs="Calibri" w:eastAsia="Calibri" w:hAnsi="Calibri"/>
                <w:b/>
                <w:bCs/>
                <w:sz w:val="19"/>
                <w:szCs w:val="19"/>
              </w:rPr>
              <w:t xml:space="preserve">[DATE]</w:t>
            </w:r>
          </w:p>
        </w:tc>
      </w:tr>
    </w:tbl>
    <w:p>
      <w:pPr>
        <w:spacing w:after="200"/>
      </w:pPr>
    </w:p>
    <w:p>
      <w:pPr>
        <w:keepNext/>
        <w:spacing w:after="120" w:before="280"/>
        <w:outlineLvl w:val="0"/>
      </w:pPr>
      <w:r>
        <w:rPr>
          <w:rFonts w:ascii="Calibri" w:cs="Calibri" w:eastAsia="Calibri" w:hAnsi="Calibri"/>
          <w:b/>
          <w:bCs/>
          <w:color w:val="14161B"/>
          <w:sz w:val="22"/>
          <w:szCs w:val="22"/>
        </w:rPr>
        <w:t xml:space="preserve">1. THE INVESTMENT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Term</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Position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Round size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[TOTAL ROUND SIZE]</w:t>
            </w:r>
            <w:r>
              <w:rPr>
                <w:rFonts w:ascii="Calibri" w:cs="Calibri" w:eastAsia="Calibri" w:hAnsi="Calibri"/>
                <w:sz w:val="19"/>
                <w:szCs w:val="19"/>
              </w:rPr>
              <w:t xml:space="preserve"> </w:t>
            </w:r>
            <w:r>
              <w:rPr>
                <w:rFonts w:ascii="Calibri" w:cs="Calibri" w:eastAsia="Calibri" w:hAnsi="Calibri"/>
                <w:i/>
                <w:iCs/>
                <w:sz w:val="19"/>
                <w:szCs w:val="19"/>
              </w:rPr>
              <w:t xml:space="preserve">(a commercial decision — specify)</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Lead Investor commitment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Other Investor commitments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Pre-money valuation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[PRE-MONEY]</w:t>
            </w:r>
            <w:r>
              <w:rPr>
                <w:rFonts w:ascii="Calibri" w:cs="Calibri" w:eastAsia="Calibri" w:hAnsi="Calibri"/>
                <w:sz w:val="19"/>
                <w:szCs w:val="19"/>
              </w:rPr>
              <w:t xml:space="preserve">, on a fully diluted basis including the ESOP Pool described below </w:t>
            </w:r>
            <w:r>
              <w:rPr>
                <w:rFonts w:ascii="Calibri" w:cs="Calibri" w:eastAsia="Calibri" w:hAnsi="Calibri"/>
                <w:i/>
                <w:iCs/>
                <w:sz w:val="19"/>
                <w:szCs w:val="19"/>
              </w:rPr>
              <w:t xml:space="preserve">(a commercial decision — specify)</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Post-money valuation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[POST-MONEY]</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Instrument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Compulsorily Convertible Preference Shares of face value ₹ </w:t>
            </w:r>
            <w:r>
              <w:rPr>
                <w:rFonts w:ascii="Calibri" w:cs="Calibri" w:eastAsia="Calibri" w:hAnsi="Calibri"/>
                <w:b/>
                <w:bCs/>
                <w:sz w:val="19"/>
                <w:szCs w:val="19"/>
              </w:rPr>
              <w:t xml:space="preserve">[FACE VALUE]</w:t>
            </w:r>
            <w:r>
              <w:rPr>
                <w:rFonts w:ascii="Calibri" w:cs="Calibri" w:eastAsia="Calibri" w:hAnsi="Calibri"/>
                <w:sz w:val="19"/>
                <w:szCs w:val="19"/>
              </w:rPr>
              <w:t xml:space="preserve"> each ("</w:t>
            </w:r>
            <w:r>
              <w:rPr>
                <w:rFonts w:ascii="Calibri" w:cs="Calibri" w:eastAsia="Calibri" w:hAnsi="Calibri"/>
                <w:b/>
                <w:bCs/>
                <w:sz w:val="19"/>
                <w:szCs w:val="19"/>
              </w:rPr>
              <w:t xml:space="preserve">CCPS</w:t>
            </w:r>
            <w:r>
              <w:rPr>
                <w:rFonts w:ascii="Calibri" w:cs="Calibri" w:eastAsia="Calibri" w:hAnsi="Calibri"/>
                <w:sz w:val="19"/>
                <w:szCs w:val="19"/>
              </w:rPr>
              <w:t xml:space="preserve">"), each initially convertible into one Equity Share, subject to the anti-dilution adjustment below</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Price per CCPS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[PRICE PER SHARE]</w:t>
            </w:r>
            <w:r>
              <w:rPr>
                <w:rFonts w:ascii="Calibri" w:cs="Calibri" w:eastAsia="Calibri" w:hAnsi="Calibri"/>
                <w:sz w:val="19"/>
                <w:szCs w:val="19"/>
              </w:rPr>
              <w:t xml:space="preserve">, being ₹ </w:t>
            </w:r>
            <w:r>
              <w:rPr>
                <w:rFonts w:ascii="Calibri" w:cs="Calibri" w:eastAsia="Calibri" w:hAnsi="Calibri"/>
                <w:b/>
                <w:bCs/>
                <w:sz w:val="19"/>
                <w:szCs w:val="19"/>
              </w:rPr>
              <w:t xml:space="preserve">[FACE VALUE]</w:t>
            </w:r>
            <w:r>
              <w:rPr>
                <w:rFonts w:ascii="Calibri" w:cs="Calibri" w:eastAsia="Calibri" w:hAnsi="Calibri"/>
                <w:sz w:val="19"/>
                <w:szCs w:val="19"/>
              </w:rPr>
              <w:t xml:space="preserve"> face value and ₹ </w:t>
            </w:r>
            <w:r>
              <w:rPr>
                <w:rFonts w:ascii="Calibri" w:cs="Calibri" w:eastAsia="Calibri" w:hAnsi="Calibri"/>
                <w:b/>
                <w:bCs/>
                <w:sz w:val="19"/>
                <w:szCs w:val="19"/>
              </w:rPr>
              <w:t xml:space="preserve">[PREMIUM]</w:t>
            </w:r>
            <w:r>
              <w:rPr>
                <w:rFonts w:ascii="Calibri" w:cs="Calibri" w:eastAsia="Calibri" w:hAnsi="Calibri"/>
                <w:sz w:val="19"/>
                <w:szCs w:val="19"/>
              </w:rPr>
              <w:t xml:space="preserve"> premium</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Investor shareholding</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w:t>
            </w:r>
            <w:r>
              <w:rPr>
                <w:rFonts w:ascii="Calibri" w:cs="Calibri" w:eastAsia="Calibri" w:hAnsi="Calibri"/>
                <w:sz w:val="19"/>
                <w:szCs w:val="19"/>
              </w:rPr>
              <w:t xml:space="preserve"> per cent of the fully diluted share capital immediately after Completion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Tranching</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i/>
                <w:iCs/>
                <w:sz w:val="19"/>
                <w:szCs w:val="19"/>
              </w:rPr>
              <w:t xml:space="preserve">Single tranche at Completion</w:t>
            </w:r>
            <w:r>
              <w:rPr>
                <w:rFonts w:ascii="Calibri" w:cs="Calibri" w:eastAsia="Calibri" w:hAnsi="Calibri"/>
                <w:sz w:val="19"/>
                <w:szCs w:val="19"/>
              </w:rPr>
              <w:t xml:space="preserve"> / </w:t>
            </w:r>
            <w:r>
              <w:rPr>
                <w:rFonts w:ascii="Calibri" w:cs="Calibri" w:eastAsia="Calibri" w:hAnsi="Calibri"/>
                <w:i/>
                <w:iCs/>
                <w:sz w:val="19"/>
                <w:szCs w:val="19"/>
              </w:rPr>
              <w:t xml:space="preserve">Tranche 1 of ₹ ______ at Completion and Tranche 2 of ₹ ______ on achievement of the milestones in Annexure A (a commercial decision — specify)</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Use of proceeds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 e.g. product engineering, go-to-market, working capital]</w:t>
            </w:r>
            <w:r>
              <w:rPr>
                <w:rFonts w:ascii="Calibri" w:cs="Calibri" w:eastAsia="Calibri" w:hAnsi="Calibri"/>
                <w:sz w:val="19"/>
                <w:szCs w:val="19"/>
              </w:rPr>
              <w:t xml:space="preserve">. Not to be applied towards repayment of Founder loans, buy-back of existing securities or bonuses to Founders without Investor consent.</w:t>
            </w:r>
          </w:p>
        </w:tc>
      </w:tr>
    </w:tbl>
    <w:p>
      <w:pPr>
        <w:keepNext/>
        <w:spacing w:after="120" w:before="280"/>
        <w:outlineLvl w:val="0"/>
      </w:pPr>
      <w:r>
        <w:rPr>
          <w:rFonts w:ascii="Calibri" w:cs="Calibri" w:eastAsia="Calibri" w:hAnsi="Calibri"/>
          <w:b/>
          <w:bCs/>
          <w:color w:val="14161B"/>
          <w:sz w:val="22"/>
          <w:szCs w:val="22"/>
        </w:rPr>
        <w:t xml:space="preserve">2. CAPITALISATION</w:t>
      </w:r>
    </w:p>
    <w:p>
      <w:pPr>
        <w:spacing w:after="120" w:before="0" w:line="276"/>
        <w:jc w:val="both"/>
      </w:pPr>
      <w:r>
        <w:rPr>
          <w:rFonts w:ascii="Calibri" w:cs="Calibri" w:eastAsia="Calibri" w:hAnsi="Calibri"/>
          <w:sz w:val="21"/>
          <w:szCs w:val="21"/>
        </w:rPr>
        <w:t xml:space="preserve">The capitalisation of the Company immediately before and immediately after Completion, on a fully diluted basis, is set out below. Final numbers will be agreed in the definitive documents.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1156"/>
        <w:gridCol w:w="1252"/>
        <w:gridCol w:w="963"/>
        <w:gridCol w:w="1156"/>
        <w:gridCol w:w="1349"/>
        <w:gridCol w:w="1449"/>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Shareholder</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Instrument</w:t>
            </w:r>
          </w:p>
        </w:tc>
        <w:tc>
          <w:tcPr>
            <w:tcW w:type="dxa" w:w="12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Pre-round shares</w:t>
            </w:r>
          </w:p>
        </w:tc>
        <w:tc>
          <w:tcPr>
            <w:tcW w:type="dxa" w:w="96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Pre-round %</w:t>
            </w:r>
          </w:p>
        </w:tc>
        <w:tc>
          <w:tcPr>
            <w:tcW w:type="dxa" w:w="115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New shares</w:t>
            </w:r>
          </w:p>
        </w:tc>
        <w:tc>
          <w:tcPr>
            <w:tcW w:type="dxa" w:w="13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Post-round shares</w:t>
            </w:r>
          </w:p>
        </w:tc>
        <w:tc>
          <w:tcPr>
            <w:tcW w:type="dxa" w:w="14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Post-round %</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[FOUNDER 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Equity</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[FOUNDER 2]</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Equity</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[EXISTING INVESTOR]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CCPS</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ESOP Pool (granted)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Options</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ESOP Pool (unallocated)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Options</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[LEAD INVESTOR]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CCPS</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 INVESTOR]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CCPS</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w:t>
            </w:r>
          </w:p>
        </w:tc>
        <w:tc>
          <w:tcPr>
            <w:tcW w:type="dxa" w:w="1156"/>
            <w:tcMar>
              <w:top w:type="dxa" w:w="70"/>
              <w:left w:type="dxa" w:w="100"/>
              <w:bottom w:type="dxa" w:w="70"/>
              <w:right w:type="dxa" w:w="100"/>
            </w:tcMar>
            <w:vAlign w:val="center"/>
          </w:tcPr>
          <w:p>
            <w:pPr>
              <w:spacing w:after="0" w:line="240"/>
              <w:jc w:val="left"/>
            </w:pP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100.0%</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100.0%</w:t>
            </w:r>
          </w:p>
        </w:tc>
      </w:tr>
    </w:tbl>
    <w:p>
      <w:pPr>
        <w:spacing w:after="140"/>
      </w:pPr>
    </w:p>
    <w:p>
      <w:pPr>
        <w:spacing w:after="120" w:before="0" w:line="276"/>
        <w:jc w:val="both"/>
      </w:pPr>
      <w:r>
        <w:rPr>
          <w:rFonts w:ascii="Calibri" w:cs="Calibri" w:eastAsia="Calibri" w:hAnsi="Calibri"/>
          <w:b/>
          <w:bCs/>
          <w:sz w:val="21"/>
          <w:szCs w:val="21"/>
        </w:rPr>
        <w:t xml:space="preserve">ESOP Pool.</w:t>
      </w:r>
      <w:r>
        <w:rPr>
          <w:rFonts w:ascii="Calibri" w:cs="Calibri" w:eastAsia="Calibri" w:hAnsi="Calibri"/>
          <w:sz w:val="21"/>
          <w:szCs w:val="21"/>
        </w:rPr>
        <w:t xml:space="preserve"> Immediately before Completion the Company shall expand its employee stock option pool so that the unallocated pool equals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post-Completion fully diluted share capital. The expansion is taken from the pre-money capitalisation and dilutes the existing shareholders only. </w:t>
      </w:r>
      <w:r>
        <w:rPr>
          <w:rFonts w:ascii="Calibri" w:cs="Calibri" w:eastAsia="Calibri" w:hAnsi="Calibri"/>
          <w:i/>
          <w:iCs/>
          <w:sz w:val="21"/>
          <w:szCs w:val="21"/>
        </w:rPr>
        <w:t xml:space="preserve">(The size of the pool and whether it is pre-money or post-money is a commercial decision — specify.)</w:t>
      </w:r>
    </w:p>
    <w:p>
      <w:pPr>
        <w:keepNext/>
        <w:spacing w:after="120" w:before="280"/>
        <w:outlineLvl w:val="0"/>
      </w:pPr>
      <w:r>
        <w:rPr>
          <w:rFonts w:ascii="Calibri" w:cs="Calibri" w:eastAsia="Calibri" w:hAnsi="Calibri"/>
          <w:b/>
          <w:bCs/>
          <w:color w:val="14161B"/>
          <w:sz w:val="22"/>
          <w:szCs w:val="22"/>
        </w:rPr>
        <w:t xml:space="preserve">3. ECONOMIC TERMS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Liquidation preference.</w:t>
      </w:r>
      <w:r>
        <w:rPr>
          <w:rFonts w:ascii="Calibri" w:cs="Calibri" w:eastAsia="Calibri" w:hAnsi="Calibri"/>
          <w:sz w:val="21"/>
          <w:szCs w:val="21"/>
        </w:rPr>
        <w:t xml:space="preserve"> On a Liquidation Event, the CCPS holders shall be entitled, in priority to the Equity Shares, to receive </w:t>
      </w:r>
      <w:r>
        <w:rPr>
          <w:rFonts w:ascii="Calibri" w:cs="Calibri" w:eastAsia="Calibri" w:hAnsi="Calibri"/>
          <w:b/>
          <w:bCs/>
          <w:sz w:val="21"/>
          <w:szCs w:val="21"/>
        </w:rPr>
        <w:t xml:space="preserve">[1x]</w:t>
      </w:r>
      <w:r>
        <w:rPr>
          <w:rFonts w:ascii="Calibri" w:cs="Calibri" w:eastAsia="Calibri" w:hAnsi="Calibri"/>
          <w:sz w:val="21"/>
          <w:szCs w:val="21"/>
        </w:rPr>
        <w:t xml:space="preserve"> times the amount subscribed, plus declared but unpaid dividends. The preference shall be </w:t>
      </w:r>
      <w:r>
        <w:rPr>
          <w:rFonts w:ascii="Calibri" w:cs="Calibri" w:eastAsia="Calibri" w:hAnsi="Calibri"/>
          <w:b/>
          <w:bCs/>
          <w:sz w:val="21"/>
          <w:szCs w:val="21"/>
        </w:rPr>
        <w:t xml:space="preserve">[non-participating — the CCPS holders take the higher of the preference amount and the amount they would receive on an as-converted basis]</w:t>
      </w:r>
      <w:r>
        <w:rPr>
          <w:rFonts w:ascii="Calibri" w:cs="Calibri" w:eastAsia="Calibri" w:hAnsi="Calibri"/>
          <w:sz w:val="21"/>
          <w:szCs w:val="21"/>
        </w:rPr>
        <w:t xml:space="preserve"> </w:t>
      </w:r>
      <w:r>
        <w:rPr>
          <w:rFonts w:ascii="Calibri" w:cs="Calibri" w:eastAsia="Calibri" w:hAnsi="Calibri"/>
          <w:i/>
          <w:iCs/>
          <w:sz w:val="21"/>
          <w:szCs w:val="21"/>
        </w:rPr>
        <w:t xml:space="preserve">(participating or non-participating, and the multiple, are commercial decisions — specify)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Liquidation Event</w:t>
      </w:r>
      <w:r>
        <w:rPr>
          <w:rFonts w:ascii="Calibri" w:cs="Calibri" w:eastAsia="Calibri" w:hAnsi="Calibri"/>
          <w:sz w:val="21"/>
          <w:szCs w:val="21"/>
        </w:rPr>
        <w:t xml:space="preserve"> means a winding up or dissolution of the Company, a sale of all or substantially all of its assets or undertaking, a merger, amalgamation, scheme of arrangement or other transaction resulting in a change of control, and a sale of shares by shareholders holding a majority of the share capital.</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Order of priority.</w:t>
      </w:r>
      <w:r>
        <w:rPr>
          <w:rFonts w:ascii="Calibri" w:cs="Calibri" w:eastAsia="Calibri" w:hAnsi="Calibri"/>
          <w:sz w:val="21"/>
          <w:szCs w:val="21"/>
        </w:rPr>
        <w:t xml:space="preserve"> Where more than one class of preference shares is outstanding, the preferences shall rank </w:t>
      </w:r>
      <w:r>
        <w:rPr>
          <w:rFonts w:ascii="Calibri" w:cs="Calibri" w:eastAsia="Calibri" w:hAnsi="Calibri"/>
          <w:b/>
          <w:bCs/>
          <w:sz w:val="21"/>
          <w:szCs w:val="21"/>
        </w:rPr>
        <w:t xml:space="preserve">[pari passu among all classes / in reverse order of issue, with the most recent series senior]</w:t>
      </w:r>
      <w:r>
        <w:rPr>
          <w:rFonts w:ascii="Calibri" w:cs="Calibri" w:eastAsia="Calibri" w:hAnsi="Calibri"/>
          <w:sz w:val="21"/>
          <w:szCs w:val="21"/>
        </w:rPr>
        <w:t xml:space="preserve"> </w:t>
      </w:r>
      <w:r>
        <w:rPr>
          <w:rFonts w:ascii="Calibri" w:cs="Calibri" w:eastAsia="Calibri" w:hAnsi="Calibri"/>
          <w:i/>
          <w:iCs/>
          <w:sz w:val="21"/>
          <w:szCs w:val="21"/>
        </w:rPr>
        <w:t xml:space="preserve">(a commercial decision — specify)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b/>
          <w:bCs/>
          <w:sz w:val="21"/>
          <w:szCs w:val="21"/>
        </w:rPr>
        <w:t xml:space="preserve">Dividends.</w:t>
      </w:r>
      <w:r>
        <w:rPr>
          <w:rFonts w:ascii="Calibri" w:cs="Calibri" w:eastAsia="Calibri" w:hAnsi="Calibri"/>
          <w:sz w:val="21"/>
          <w:szCs w:val="21"/>
        </w:rPr>
        <w:t xml:space="preserve"> The CCPS shall carry a preferential dividend of </w:t>
      </w:r>
      <w:r>
        <w:rPr>
          <w:rFonts w:ascii="Calibri" w:cs="Calibri" w:eastAsia="Calibri" w:hAnsi="Calibri"/>
          <w:b/>
          <w:bCs/>
          <w:sz w:val="21"/>
          <w:szCs w:val="21"/>
        </w:rPr>
        <w:t xml:space="preserve">[0.001]</w:t>
      </w:r>
      <w:r>
        <w:rPr>
          <w:rFonts w:ascii="Calibri" w:cs="Calibri" w:eastAsia="Calibri" w:hAnsi="Calibri"/>
          <w:sz w:val="21"/>
          <w:szCs w:val="21"/>
        </w:rPr>
        <w:t xml:space="preserve"> per cent per annum, payable only if declared. Beyond that preferential dividend, the CCPS shall participate in dividends on an as-converted basis. No dividend shall be declared on the Equity Shares without the prior written consent of the Lead Investor.</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b/>
          <w:bCs/>
          <w:sz w:val="21"/>
          <w:szCs w:val="21"/>
        </w:rPr>
        <w:t xml:space="preserve">Conversion.</w:t>
      </w:r>
      <w:r>
        <w:rPr>
          <w:rFonts w:ascii="Calibri" w:cs="Calibri" w:eastAsia="Calibri" w:hAnsi="Calibri"/>
          <w:sz w:val="21"/>
          <w:szCs w:val="21"/>
        </w:rPr>
        <w:t xml:space="preserve"> Each CCPS shall convert into Equity Shares (a) at the option of the holder at any time, (b) automatically immediately before a qualified initial public offering, and (c) in any event no later than </w:t>
      </w:r>
      <w:r>
        <w:rPr>
          <w:rFonts w:ascii="Calibri" w:cs="Calibri" w:eastAsia="Calibri" w:hAnsi="Calibri"/>
          <w:b/>
          <w:bCs/>
          <w:sz w:val="21"/>
          <w:szCs w:val="21"/>
        </w:rPr>
        <w:t xml:space="preserve">[NUMBER]</w:t>
      </w:r>
      <w:r>
        <w:rPr>
          <w:rFonts w:ascii="Calibri" w:cs="Calibri" w:eastAsia="Calibri" w:hAnsi="Calibri"/>
          <w:sz w:val="21"/>
          <w:szCs w:val="21"/>
        </w:rPr>
        <w:t xml:space="preserve"> years from the date of allotment, being within the maximum period permitted by law. The conversion ratio shall initially be 1:1 and shall be adjusted for share splits, consolidations, bonus issues, and the anti-dilution provision below.</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b/>
          <w:bCs/>
          <w:sz w:val="21"/>
          <w:szCs w:val="21"/>
        </w:rPr>
        <w:t xml:space="preserve">Anti-dilution.</w:t>
      </w:r>
      <w:r>
        <w:rPr>
          <w:rFonts w:ascii="Calibri" w:cs="Calibri" w:eastAsia="Calibri" w:hAnsi="Calibri"/>
          <w:sz w:val="21"/>
          <w:szCs w:val="21"/>
        </w:rPr>
        <w:t xml:space="preserve"> If the Company issues securities at a price per share lower than the price paid by the Investors, the conversion ratio of the CCPS shall be adjusted on a </w:t>
      </w:r>
      <w:r>
        <w:rPr>
          <w:rFonts w:ascii="Calibri" w:cs="Calibri" w:eastAsia="Calibri" w:hAnsi="Calibri"/>
          <w:b/>
          <w:bCs/>
          <w:sz w:val="21"/>
          <w:szCs w:val="21"/>
        </w:rPr>
        <w:t xml:space="preserve">[broad-based weighted average]</w:t>
      </w:r>
      <w:r>
        <w:rPr>
          <w:rFonts w:ascii="Calibri" w:cs="Calibri" w:eastAsia="Calibri" w:hAnsi="Calibri"/>
          <w:sz w:val="21"/>
          <w:szCs w:val="21"/>
        </w:rPr>
        <w:t xml:space="preserve"> basis </w:t>
      </w:r>
      <w:r>
        <w:rPr>
          <w:rFonts w:ascii="Calibri" w:cs="Calibri" w:eastAsia="Calibri" w:hAnsi="Calibri"/>
          <w:i/>
          <w:iCs/>
          <w:sz w:val="21"/>
          <w:szCs w:val="21"/>
        </w:rPr>
        <w:t xml:space="preserve">(broad-based weighted average, narrow-based weighted average or full ratchet — a commercial decision; broad-based weighted average is market standard for Indian venture rounds)</w:t>
      </w:r>
      <w:r>
        <w:rPr>
          <w:rFonts w:ascii="Calibri" w:cs="Calibri" w:eastAsia="Calibri" w:hAnsi="Calibri"/>
          <w:sz w:val="21"/>
          <w:szCs w:val="21"/>
        </w:rPr>
        <w:t xml:space="preserve">. Adjustment shall be effected by an increase in the conversion ratio and not by a reduction in the issue price, so that no share is issued below face value.</w:t>
      </w:r>
    </w:p>
    <w:p>
      <w:pPr>
        <w:spacing w:after="120" w:before="60" w:line="276"/>
        <w:ind w:left="720" w:hanging="720"/>
        <w:jc w:val="both"/>
      </w:pPr>
      <w:r>
        <w:rPr>
          <w:rFonts w:ascii="Calibri" w:cs="Calibri" w:eastAsia="Calibri" w:hAnsi="Calibri"/>
          <w:sz w:val="21"/>
          <w:szCs w:val="21"/>
        </w:rPr>
        <w:t xml:space="preserve">3.7	</w:t>
      </w:r>
      <w:r>
        <w:rPr>
          <w:rFonts w:ascii="Calibri" w:cs="Calibri" w:eastAsia="Calibri" w:hAnsi="Calibri"/>
          <w:b/>
          <w:bCs/>
          <w:sz w:val="21"/>
          <w:szCs w:val="21"/>
        </w:rPr>
        <w:t xml:space="preserve">Anti-dilution carve-outs.</w:t>
      </w:r>
      <w:r>
        <w:rPr>
          <w:rFonts w:ascii="Calibri" w:cs="Calibri" w:eastAsia="Calibri" w:hAnsi="Calibri"/>
          <w:sz w:val="21"/>
          <w:szCs w:val="21"/>
        </w:rPr>
        <w:t xml:space="preserve"> No adjustment shall be made for issues under the ESOP Pool, on conversion of instruments outstanding at Completion, on a bonus issue or split affecting all shareholders equally, or in a transaction approved in writing by the Lead Investor.</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GOVERNANCE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Board composition.</w:t>
      </w:r>
      <w:r>
        <w:rPr>
          <w:rFonts w:ascii="Calibri" w:cs="Calibri" w:eastAsia="Calibri" w:hAnsi="Calibri"/>
          <w:sz w:val="21"/>
          <w:szCs w:val="21"/>
        </w:rPr>
        <w:t xml:space="preserve"> The Board shall comprise </w:t>
      </w:r>
      <w:r>
        <w:rPr>
          <w:rFonts w:ascii="Calibri" w:cs="Calibri" w:eastAsia="Calibri" w:hAnsi="Calibri"/>
          <w:b/>
          <w:bCs/>
          <w:sz w:val="21"/>
          <w:szCs w:val="21"/>
        </w:rPr>
        <w:t xml:space="preserve">[NUMBER]</w:t>
      </w:r>
      <w:r>
        <w:rPr>
          <w:rFonts w:ascii="Calibri" w:cs="Calibri" w:eastAsia="Calibri" w:hAnsi="Calibri"/>
          <w:sz w:val="21"/>
          <w:szCs w:val="21"/>
        </w:rPr>
        <w:t xml:space="preserve"> directors, of whom (a) </w:t>
      </w:r>
      <w:r>
        <w:rPr>
          <w:rFonts w:ascii="Calibri" w:cs="Calibri" w:eastAsia="Calibri" w:hAnsi="Calibri"/>
          <w:b/>
          <w:bCs/>
          <w:sz w:val="21"/>
          <w:szCs w:val="21"/>
        </w:rPr>
        <w:t xml:space="preserve">[NUMBER]</w:t>
      </w:r>
      <w:r>
        <w:rPr>
          <w:rFonts w:ascii="Calibri" w:cs="Calibri" w:eastAsia="Calibri" w:hAnsi="Calibri"/>
          <w:sz w:val="21"/>
          <w:szCs w:val="21"/>
        </w:rPr>
        <w:t xml:space="preserve"> shall be nominated by the Founders, (b) one shall be nominated by the Lead Investor (the "</w:t>
      </w:r>
      <w:r>
        <w:rPr>
          <w:rFonts w:ascii="Calibri" w:cs="Calibri" w:eastAsia="Calibri" w:hAnsi="Calibri"/>
          <w:b/>
          <w:bCs/>
          <w:sz w:val="21"/>
          <w:szCs w:val="21"/>
        </w:rPr>
        <w:t xml:space="preserve">Investor Director</w:t>
      </w:r>
      <w:r>
        <w:rPr>
          <w:rFonts w:ascii="Calibri" w:cs="Calibri" w:eastAsia="Calibri" w:hAnsi="Calibri"/>
          <w:sz w:val="21"/>
          <w:szCs w:val="21"/>
        </w:rPr>
        <w:t xml:space="preserve">"), and (c) </w:t>
      </w:r>
      <w:r>
        <w:rPr>
          <w:rFonts w:ascii="Calibri" w:cs="Calibri" w:eastAsia="Calibri" w:hAnsi="Calibri"/>
          <w:b/>
          <w:bCs/>
          <w:sz w:val="21"/>
          <w:szCs w:val="21"/>
        </w:rPr>
        <w:t xml:space="preserve">[NUMBER]</w:t>
      </w:r>
      <w:r>
        <w:rPr>
          <w:rFonts w:ascii="Calibri" w:cs="Calibri" w:eastAsia="Calibri" w:hAnsi="Calibri"/>
          <w:sz w:val="21"/>
          <w:szCs w:val="21"/>
        </w:rPr>
        <w:t xml:space="preserve"> shall be independent directors appointed with the consent of the Lead Investor and the Founders.</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Investor Director.</w:t>
      </w:r>
      <w:r>
        <w:rPr>
          <w:rFonts w:ascii="Calibri" w:cs="Calibri" w:eastAsia="Calibri" w:hAnsi="Calibri"/>
          <w:sz w:val="21"/>
          <w:szCs w:val="21"/>
        </w:rPr>
        <w:t xml:space="preserve"> The Investor Director shall not be liable to retire by rotation, shall be entitled to reimbursement of expenses, shall not be required to hold qualification shares, and shall be indemnified by the Company. The Company shall maintain directors’ and officers’ liability insurance of not less than ₹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Observer.</w:t>
      </w:r>
      <w:r>
        <w:rPr>
          <w:rFonts w:ascii="Calibri" w:cs="Calibri" w:eastAsia="Calibri" w:hAnsi="Calibri"/>
          <w:sz w:val="21"/>
          <w:szCs w:val="21"/>
        </w:rPr>
        <w:t xml:space="preserve"> Each Investor holding not less than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shall be entitled to appoint one observer to attend Board meetings without voting rights.</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b/>
          <w:bCs/>
          <w:sz w:val="21"/>
          <w:szCs w:val="21"/>
        </w:rPr>
        <w:t xml:space="preserve">Quorum.</w:t>
      </w:r>
      <w:r>
        <w:rPr>
          <w:rFonts w:ascii="Calibri" w:cs="Calibri" w:eastAsia="Calibri" w:hAnsi="Calibri"/>
          <w:sz w:val="21"/>
          <w:szCs w:val="21"/>
        </w:rPr>
        <w:t xml:space="preserve"> No Board meeting shall be quorate unless the Investor Director is present, save that if a duly convened meeting is adjourned twice for want of that quorum, the adjourned meeting may proceed without the Investor Director on the same agenda.</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b/>
          <w:bCs/>
          <w:sz w:val="21"/>
          <w:szCs w:val="21"/>
        </w:rPr>
        <w:t xml:space="preserve">Committees.</w:t>
      </w:r>
      <w:r>
        <w:rPr>
          <w:rFonts w:ascii="Calibri" w:cs="Calibri" w:eastAsia="Calibri" w:hAnsi="Calibri"/>
          <w:sz w:val="21"/>
          <w:szCs w:val="21"/>
        </w:rPr>
        <w:t xml:space="preserve"> The Board shall constitute an audit committee and a compensation committee, on each of which the Investor Director shall be entitled to sit.</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b/>
          <w:bCs/>
          <w:sz w:val="21"/>
          <w:szCs w:val="21"/>
        </w:rPr>
        <w:t xml:space="preserve">Reserved matters.</w:t>
      </w:r>
      <w:r>
        <w:rPr>
          <w:rFonts w:ascii="Calibri" w:cs="Calibri" w:eastAsia="Calibri" w:hAnsi="Calibri"/>
          <w:sz w:val="21"/>
          <w:szCs w:val="21"/>
        </w:rPr>
        <w:t xml:space="preserve"> The actions listed in Annexure B shall not be taken by the Company or any subsidiary without the prior written consent of the Lead Investor, whether at the Board or the shareholder level. The reserved matters shall be incorporated into the Articles of Association.</w:t>
      </w:r>
    </w:p>
    <w:p>
      <w:pPr>
        <w:spacing w:after="120" w:before="60" w:line="276"/>
        <w:ind w:left="720" w:hanging="720"/>
        <w:jc w:val="both"/>
      </w:pPr>
      <w:r>
        <w:rPr>
          <w:rFonts w:ascii="Calibri" w:cs="Calibri" w:eastAsia="Calibri" w:hAnsi="Calibri"/>
          <w:sz w:val="21"/>
          <w:szCs w:val="21"/>
        </w:rPr>
        <w:t xml:space="preserve">4.7	</w:t>
      </w:r>
      <w:r>
        <w:rPr>
          <w:rFonts w:ascii="Calibri" w:cs="Calibri" w:eastAsia="Calibri" w:hAnsi="Calibri"/>
          <w:b/>
          <w:bCs/>
          <w:sz w:val="21"/>
          <w:szCs w:val="21"/>
        </w:rPr>
        <w:t xml:space="preserve">Information rights.</w:t>
      </w:r>
      <w:r>
        <w:rPr>
          <w:rFonts w:ascii="Calibri" w:cs="Calibri" w:eastAsia="Calibri" w:hAnsi="Calibri"/>
          <w:sz w:val="21"/>
          <w:szCs w:val="21"/>
        </w:rPr>
        <w:t xml:space="preserve"> The Company shall deliver to each Investor: monthly management accounts and a key-metrics dashboard within </w:t>
      </w:r>
      <w:r>
        <w:rPr>
          <w:rFonts w:ascii="Calibri" w:cs="Calibri" w:eastAsia="Calibri" w:hAnsi="Calibri"/>
          <w:b/>
          <w:bCs/>
          <w:sz w:val="21"/>
          <w:szCs w:val="21"/>
        </w:rPr>
        <w:t xml:space="preserve">[15]</w:t>
      </w:r>
      <w:r>
        <w:rPr>
          <w:rFonts w:ascii="Calibri" w:cs="Calibri" w:eastAsia="Calibri" w:hAnsi="Calibri"/>
          <w:sz w:val="21"/>
          <w:szCs w:val="21"/>
        </w:rPr>
        <w:t xml:space="preserve"> days of month end; quarterly unaudited financial statements within </w:t>
      </w:r>
      <w:r>
        <w:rPr>
          <w:rFonts w:ascii="Calibri" w:cs="Calibri" w:eastAsia="Calibri" w:hAnsi="Calibri"/>
          <w:b/>
          <w:bCs/>
          <w:sz w:val="21"/>
          <w:szCs w:val="21"/>
        </w:rPr>
        <w:t xml:space="preserve">[30]</w:t>
      </w:r>
      <w:r>
        <w:rPr>
          <w:rFonts w:ascii="Calibri" w:cs="Calibri" w:eastAsia="Calibri" w:hAnsi="Calibri"/>
          <w:sz w:val="21"/>
          <w:szCs w:val="21"/>
        </w:rPr>
        <w:t xml:space="preserve"> days of quarter end; audited financial statements within </w:t>
      </w:r>
      <w:r>
        <w:rPr>
          <w:rFonts w:ascii="Calibri" w:cs="Calibri" w:eastAsia="Calibri" w:hAnsi="Calibri"/>
          <w:b/>
          <w:bCs/>
          <w:sz w:val="21"/>
          <w:szCs w:val="21"/>
        </w:rPr>
        <w:t xml:space="preserve">[90]</w:t>
      </w:r>
      <w:r>
        <w:rPr>
          <w:rFonts w:ascii="Calibri" w:cs="Calibri" w:eastAsia="Calibri" w:hAnsi="Calibri"/>
          <w:sz w:val="21"/>
          <w:szCs w:val="21"/>
        </w:rPr>
        <w:t xml:space="preserve"> days of financial year end; an annual budget and business plan not less than </w:t>
      </w:r>
      <w:r>
        <w:rPr>
          <w:rFonts w:ascii="Calibri" w:cs="Calibri" w:eastAsia="Calibri" w:hAnsi="Calibri"/>
          <w:b/>
          <w:bCs/>
          <w:sz w:val="21"/>
          <w:szCs w:val="21"/>
        </w:rPr>
        <w:t xml:space="preserve">[30]</w:t>
      </w:r>
      <w:r>
        <w:rPr>
          <w:rFonts w:ascii="Calibri" w:cs="Calibri" w:eastAsia="Calibri" w:hAnsi="Calibri"/>
          <w:sz w:val="21"/>
          <w:szCs w:val="21"/>
        </w:rPr>
        <w:t xml:space="preserve"> days before the start of each financial year; an updated capitalisation table on every change; and prompt notice of any material litigation, regulatory action, data breach, or default.</w:t>
      </w:r>
    </w:p>
    <w:p>
      <w:pPr>
        <w:spacing w:after="120" w:before="60" w:line="276"/>
        <w:ind w:left="720" w:hanging="720"/>
        <w:jc w:val="both"/>
      </w:pPr>
      <w:r>
        <w:rPr>
          <w:rFonts w:ascii="Calibri" w:cs="Calibri" w:eastAsia="Calibri" w:hAnsi="Calibri"/>
          <w:sz w:val="21"/>
          <w:szCs w:val="21"/>
        </w:rPr>
        <w:t xml:space="preserve">4.8	</w:t>
      </w:r>
      <w:r>
        <w:rPr>
          <w:rFonts w:ascii="Calibri" w:cs="Calibri" w:eastAsia="Calibri" w:hAnsi="Calibri"/>
          <w:b/>
          <w:bCs/>
          <w:sz w:val="21"/>
          <w:szCs w:val="21"/>
        </w:rPr>
        <w:t xml:space="preserve">Inspection.</w:t>
      </w:r>
      <w:r>
        <w:rPr>
          <w:rFonts w:ascii="Calibri" w:cs="Calibri" w:eastAsia="Calibri" w:hAnsi="Calibri"/>
          <w:sz w:val="21"/>
          <w:szCs w:val="21"/>
        </w:rPr>
        <w:t xml:space="preserve"> Each Investor shall have the right, on reasonable notice, to inspect the books, records and premises of the Company, and to speak with its auditors, at its own cost.</w:t>
      </w:r>
    </w:p>
    <w:p>
      <w:pPr>
        <w:keepNext/>
        <w:spacing w:after="120" w:before="280"/>
        <w:outlineLvl w:val="0"/>
      </w:pPr>
      <w:r>
        <w:rPr>
          <w:rFonts w:ascii="Calibri" w:cs="Calibri" w:eastAsia="Calibri" w:hAnsi="Calibri"/>
          <w:b/>
          <w:bCs/>
          <w:color w:val="14161B"/>
          <w:sz w:val="22"/>
          <w:szCs w:val="22"/>
        </w:rPr>
        <w:t xml:space="preserve">5. TRANSFER AND EXIT</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Founder lock-in.</w:t>
      </w:r>
      <w:r>
        <w:rPr>
          <w:rFonts w:ascii="Calibri" w:cs="Calibri" w:eastAsia="Calibri" w:hAnsi="Calibri"/>
          <w:sz w:val="21"/>
          <w:szCs w:val="21"/>
        </w:rPr>
        <w:t xml:space="preserve"> The Founders shall not transfer, encumber or otherwise deal with their shares without the prior written consent of the Lead Investor until the earlier of </w:t>
      </w:r>
      <w:r>
        <w:rPr>
          <w:rFonts w:ascii="Calibri" w:cs="Calibri" w:eastAsia="Calibri" w:hAnsi="Calibri"/>
          <w:b/>
          <w:bCs/>
          <w:sz w:val="21"/>
          <w:szCs w:val="21"/>
        </w:rPr>
        <w:t xml:space="preserve">[NUMBER]</w:t>
      </w:r>
      <w:r>
        <w:rPr>
          <w:rFonts w:ascii="Calibri" w:cs="Calibri" w:eastAsia="Calibri" w:hAnsi="Calibri"/>
          <w:sz w:val="21"/>
          <w:szCs w:val="21"/>
        </w:rPr>
        <w:t xml:space="preserve"> years from Completion and an Exit Event, save for transfers to a permitted family entity for estate-planning purposes on the transferee acceding to the definitive documents.</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Right of first refusal.</w:t>
      </w:r>
      <w:r>
        <w:rPr>
          <w:rFonts w:ascii="Calibri" w:cs="Calibri" w:eastAsia="Calibri" w:hAnsi="Calibri"/>
          <w:sz w:val="21"/>
          <w:szCs w:val="21"/>
        </w:rPr>
        <w:t xml:space="preserve"> Any proposed transfer of shares by a Founder shall first be offered to the Investors, pro rata to their holdings, on the same terms.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b/>
          <w:bCs/>
          <w:sz w:val="21"/>
          <w:szCs w:val="21"/>
        </w:rPr>
        <w:t xml:space="preserve">Tag-along.</w:t>
      </w:r>
      <w:r>
        <w:rPr>
          <w:rFonts w:ascii="Calibri" w:cs="Calibri" w:eastAsia="Calibri" w:hAnsi="Calibri"/>
          <w:sz w:val="21"/>
          <w:szCs w:val="21"/>
        </w:rPr>
        <w:t xml:space="preserve"> If the Founders propose to transfer shares to a third party, each Investor shall have the right to require the third party to purchase all of its shares on the same terms and in priority to the Founders’ shares. On a transfer resulting in a change of control, the tag right shall apply to all of the Investors’ shares.</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b/>
          <w:bCs/>
          <w:sz w:val="21"/>
          <w:szCs w:val="21"/>
        </w:rPr>
        <w:t xml:space="preserve">Drag-along.</w:t>
      </w:r>
      <w:r>
        <w:rPr>
          <w:rFonts w:ascii="Calibri" w:cs="Calibri" w:eastAsia="Calibri" w:hAnsi="Calibri"/>
          <w:sz w:val="21"/>
          <w:szCs w:val="21"/>
        </w:rPr>
        <w:t xml:space="preserve"> If, after </w:t>
      </w:r>
      <w:r>
        <w:rPr>
          <w:rFonts w:ascii="Calibri" w:cs="Calibri" w:eastAsia="Calibri" w:hAnsi="Calibri"/>
          <w:b/>
          <w:bCs/>
          <w:sz w:val="21"/>
          <w:szCs w:val="21"/>
        </w:rPr>
        <w:t xml:space="preserve">[NUMBER]</w:t>
      </w:r>
      <w:r>
        <w:rPr>
          <w:rFonts w:ascii="Calibri" w:cs="Calibri" w:eastAsia="Calibri" w:hAnsi="Calibri"/>
          <w:sz w:val="21"/>
          <w:szCs w:val="21"/>
        </w:rPr>
        <w:t xml:space="preserve"> years from Completion, holders of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share capital including the Lead Investor approve a sale of the Company to a bona fide third party at a price not less than ₹ </w:t>
      </w:r>
      <w:r>
        <w:rPr>
          <w:rFonts w:ascii="Calibri" w:cs="Calibri" w:eastAsia="Calibri" w:hAnsi="Calibri"/>
          <w:b/>
          <w:bCs/>
          <w:sz w:val="21"/>
          <w:szCs w:val="21"/>
        </w:rPr>
        <w:t xml:space="preserve">[FLOOR PRICE OR VALUATION]</w:t>
      </w:r>
      <w:r>
        <w:rPr>
          <w:rFonts w:ascii="Calibri" w:cs="Calibri" w:eastAsia="Calibri" w:hAnsi="Calibri"/>
          <w:sz w:val="21"/>
          <w:szCs w:val="21"/>
        </w:rPr>
        <w:t xml:space="preserve">, all other shareholders shall be obliged to sell on the same terms. The drag obligation shall be recorded in the Articles of Association and supported by a power of attorney.</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b/>
          <w:bCs/>
          <w:sz w:val="21"/>
          <w:szCs w:val="21"/>
        </w:rPr>
        <w:t xml:space="preserve">Pre-emptive rights.</w:t>
      </w:r>
      <w:r>
        <w:rPr>
          <w:rFonts w:ascii="Calibri" w:cs="Calibri" w:eastAsia="Calibri" w:hAnsi="Calibri"/>
          <w:sz w:val="21"/>
          <w:szCs w:val="21"/>
        </w:rPr>
        <w:t xml:space="preserve"> Each Investor shall have the right to participate in any future issue of securities, pro rata to its fully diluted holding, on the same terms, so as to maintain its percentage holding.</w:t>
      </w:r>
    </w:p>
    <w:p>
      <w:pPr>
        <w:spacing w:after="120" w:before="60" w:line="276"/>
        <w:ind w:left="720" w:hanging="720"/>
        <w:jc w:val="both"/>
      </w:pPr>
      <w:r>
        <w:rPr>
          <w:rFonts w:ascii="Calibri" w:cs="Calibri" w:eastAsia="Calibri" w:hAnsi="Calibri"/>
          <w:sz w:val="21"/>
          <w:szCs w:val="21"/>
        </w:rPr>
        <w:t xml:space="preserve">5.6	</w:t>
      </w:r>
      <w:r>
        <w:rPr>
          <w:rFonts w:ascii="Calibri" w:cs="Calibri" w:eastAsia="Calibri" w:hAnsi="Calibri"/>
          <w:b/>
          <w:bCs/>
          <w:sz w:val="21"/>
          <w:szCs w:val="21"/>
        </w:rPr>
        <w:t xml:space="preserve">Exit.</w:t>
      </w:r>
      <w:r>
        <w:rPr>
          <w:rFonts w:ascii="Calibri" w:cs="Calibri" w:eastAsia="Calibri" w:hAnsi="Calibri"/>
          <w:sz w:val="21"/>
          <w:szCs w:val="21"/>
        </w:rPr>
        <w:t xml:space="preserve"> The Company and the Founders shall use best efforts to provide the Investors with an exit by </w:t>
      </w:r>
      <w:r>
        <w:rPr>
          <w:rFonts w:ascii="Calibri" w:cs="Calibri" w:eastAsia="Calibri" w:hAnsi="Calibri"/>
          <w:b/>
          <w:bCs/>
          <w:sz w:val="21"/>
          <w:szCs w:val="21"/>
        </w:rPr>
        <w:t xml:space="preserve">[DATE OR NUMBER OF YEARS]</w:t>
      </w:r>
      <w:r>
        <w:rPr>
          <w:rFonts w:ascii="Calibri" w:cs="Calibri" w:eastAsia="Calibri" w:hAnsi="Calibri"/>
          <w:sz w:val="21"/>
          <w:szCs w:val="21"/>
        </w:rPr>
        <w:t xml:space="preserve">, by way of a qualified initial public offering, a strategic sale, a secondary sale, or a buy-back. If no exit has occurred by that date, the Investors shall be entitled to </w:t>
      </w:r>
      <w:r>
        <w:rPr>
          <w:rFonts w:ascii="Calibri" w:cs="Calibri" w:eastAsia="Calibri" w:hAnsi="Calibri"/>
          <w:b/>
          <w:bCs/>
          <w:sz w:val="21"/>
          <w:szCs w:val="21"/>
        </w:rPr>
        <w:t xml:space="preserve">[initiate a sale process and to drag the other shareholders / require the Company to explore a buy-back to the extent permitted by law]</w:t>
      </w:r>
      <w:r>
        <w:rPr>
          <w:rFonts w:ascii="Calibri" w:cs="Calibri" w:eastAsia="Calibri" w:hAnsi="Calibri"/>
          <w:sz w:val="21"/>
          <w:szCs w:val="21"/>
        </w:rPr>
        <w:t xml:space="preserve">. </w:t>
      </w:r>
      <w:r>
        <w:rPr>
          <w:rFonts w:ascii="Calibri" w:cs="Calibri" w:eastAsia="Calibri" w:hAnsi="Calibri"/>
          <w:i/>
          <w:iCs/>
          <w:sz w:val="21"/>
          <w:szCs w:val="21"/>
        </w:rPr>
        <w:t xml:space="preserve">(Any put option in favour of a non-resident investor at an assured price is not permitted under FEMA — see the notes.)</w:t>
      </w:r>
    </w:p>
    <w:p>
      <w:pPr>
        <w:spacing w:after="120" w:before="60" w:line="276"/>
        <w:ind w:left="720" w:hanging="720"/>
        <w:jc w:val="both"/>
      </w:pPr>
      <w:r>
        <w:rPr>
          <w:rFonts w:ascii="Calibri" w:cs="Calibri" w:eastAsia="Calibri" w:hAnsi="Calibri"/>
          <w:sz w:val="21"/>
          <w:szCs w:val="21"/>
        </w:rPr>
        <w:t xml:space="preserve">5.7	</w:t>
      </w:r>
      <w:r>
        <w:rPr>
          <w:rFonts w:ascii="Calibri" w:cs="Calibri" w:eastAsia="Calibri" w:hAnsi="Calibri"/>
          <w:b/>
          <w:bCs/>
          <w:sz w:val="21"/>
          <w:szCs w:val="21"/>
        </w:rPr>
        <w:t xml:space="preserve">Anti-embarrassment.</w:t>
      </w:r>
      <w:r>
        <w:rPr>
          <w:rFonts w:ascii="Calibri" w:cs="Calibri" w:eastAsia="Calibri" w:hAnsi="Calibri"/>
          <w:sz w:val="21"/>
          <w:szCs w:val="21"/>
        </w:rPr>
        <w:t xml:space="preserve"> If a Founder sells shares within </w:t>
      </w:r>
      <w:r>
        <w:rPr>
          <w:rFonts w:ascii="Calibri" w:cs="Calibri" w:eastAsia="Calibri" w:hAnsi="Calibri"/>
          <w:b/>
          <w:bCs/>
          <w:sz w:val="21"/>
          <w:szCs w:val="21"/>
        </w:rPr>
        <w:t xml:space="preserve">[NUMBER]</w:t>
      </w:r>
      <w:r>
        <w:rPr>
          <w:rFonts w:ascii="Calibri" w:cs="Calibri" w:eastAsia="Calibri" w:hAnsi="Calibri"/>
          <w:sz w:val="21"/>
          <w:szCs w:val="21"/>
        </w:rPr>
        <w:t xml:space="preserve"> months after an Investor exit at a materially higher price, the Founder shall account to the Investor for the excess. </w:t>
      </w:r>
      <w:r>
        <w:rPr>
          <w:rFonts w:ascii="Calibri" w:cs="Calibri" w:eastAsia="Calibri" w:hAnsi="Calibri"/>
          <w:i/>
          <w:iCs/>
          <w:sz w:val="21"/>
          <w:szCs w:val="21"/>
        </w:rPr>
        <w:t xml:space="preserve">(Include only if the Investors ask for it.)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6. FOUNDER TERMS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b/>
          <w:bCs/>
          <w:sz w:val="21"/>
          <w:szCs w:val="21"/>
        </w:rPr>
        <w:t xml:space="preserve">Founder vesting.</w:t>
      </w:r>
      <w:r>
        <w:rPr>
          <w:rFonts w:ascii="Calibri" w:cs="Calibri" w:eastAsia="Calibri" w:hAnsi="Calibri"/>
          <w:sz w:val="21"/>
          <w:szCs w:val="21"/>
        </w:rPr>
        <w:t xml:space="preserve"> The Founders’ existing shareholding shall be subject to reverse vesting over </w:t>
      </w:r>
      <w:r>
        <w:rPr>
          <w:rFonts w:ascii="Calibri" w:cs="Calibri" w:eastAsia="Calibri" w:hAnsi="Calibri"/>
          <w:b/>
          <w:bCs/>
          <w:sz w:val="21"/>
          <w:szCs w:val="21"/>
        </w:rPr>
        <w:t xml:space="preserve">[4]</w:t>
      </w:r>
      <w:r>
        <w:rPr>
          <w:rFonts w:ascii="Calibri" w:cs="Calibri" w:eastAsia="Calibri" w:hAnsi="Calibri"/>
          <w:sz w:val="21"/>
          <w:szCs w:val="21"/>
        </w:rPr>
        <w:t xml:space="preserve"> years from </w:t>
      </w:r>
      <w:r>
        <w:rPr>
          <w:rFonts w:ascii="Calibri" w:cs="Calibri" w:eastAsia="Calibri" w:hAnsi="Calibri"/>
          <w:b/>
          <w:bCs/>
          <w:sz w:val="21"/>
          <w:szCs w:val="21"/>
        </w:rPr>
        <w:t xml:space="preserve">[Completion / the date of incorporation / the date of joining]</w:t>
      </w:r>
      <w:r>
        <w:rPr>
          <w:rFonts w:ascii="Calibri" w:cs="Calibri" w:eastAsia="Calibri" w:hAnsi="Calibri"/>
          <w:sz w:val="21"/>
          <w:szCs w:val="21"/>
        </w:rPr>
        <w:t xml:space="preserve">, with </w:t>
      </w:r>
      <w:r>
        <w:rPr>
          <w:rFonts w:ascii="Calibri" w:cs="Calibri" w:eastAsia="Calibri" w:hAnsi="Calibri"/>
          <w:b/>
          <w:bCs/>
          <w:sz w:val="21"/>
          <w:szCs w:val="21"/>
        </w:rPr>
        <w:t xml:space="preserve">[25]</w:t>
      </w:r>
      <w:r>
        <w:rPr>
          <w:rFonts w:ascii="Calibri" w:cs="Calibri" w:eastAsia="Calibri" w:hAnsi="Calibri"/>
          <w:sz w:val="21"/>
          <w:szCs w:val="21"/>
        </w:rPr>
        <w:t xml:space="preserve"> per cent vesting on the first anniversary and the balance monthly thereafter.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each Founder’s holding shall be treated as vested at Completion in recognition of time already served. </w:t>
      </w:r>
      <w:r>
        <w:rPr>
          <w:rFonts w:ascii="Calibri" w:cs="Calibri" w:eastAsia="Calibri" w:hAnsi="Calibri"/>
          <w:i/>
          <w:iCs/>
          <w:sz w:val="21"/>
          <w:szCs w:val="21"/>
        </w:rPr>
        <w:t xml:space="preserve">(The vesting period, cliff, and credit for time served are commercial decisions — specify.)</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b/>
          <w:bCs/>
          <w:sz w:val="21"/>
          <w:szCs w:val="21"/>
        </w:rPr>
        <w:t xml:space="preserve">Leaver provisions.</w:t>
      </w:r>
      <w:r>
        <w:rPr>
          <w:rFonts w:ascii="Calibri" w:cs="Calibri" w:eastAsia="Calibri" w:hAnsi="Calibri"/>
          <w:sz w:val="21"/>
          <w:szCs w:val="21"/>
        </w:rPr>
        <w:t xml:space="preserve"> Unvested shares of a Founder who ceases to be employed shall be repurchased at face value. Vested shares of a Founder who leaves as a Bad Leaver shall be repurchased at the lower of cost and fair market value; vested shares of a Good Leaver shall be retained. "Bad Leaver" shall be limited to termination for fraud, wilful misconduct, material breach of the definitive documents, or conviction of an offence involving moral turpitude.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Acceleration.</w:t>
      </w:r>
      <w:r>
        <w:rPr>
          <w:rFonts w:ascii="Calibri" w:cs="Calibri" w:eastAsia="Calibri" w:hAnsi="Calibri"/>
          <w:sz w:val="21"/>
          <w:szCs w:val="21"/>
        </w:rPr>
        <w:t xml:space="preserve"> On a Liquidation Event,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each Founder’s unvested shares shall accelerate. </w:t>
      </w:r>
      <w:r>
        <w:rPr>
          <w:rFonts w:ascii="Calibri" w:cs="Calibri" w:eastAsia="Calibri" w:hAnsi="Calibri"/>
          <w:i/>
          <w:iCs/>
          <w:sz w:val="21"/>
          <w:szCs w:val="21"/>
        </w:rPr>
        <w:t xml:space="preserve">(Single-trigger or double-trigger acceleration is a commercial decision — specify.)</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b/>
          <w:bCs/>
          <w:sz w:val="21"/>
          <w:szCs w:val="21"/>
        </w:rPr>
        <w:t xml:space="preserve">Full-time commitment.</w:t>
      </w:r>
      <w:r>
        <w:rPr>
          <w:rFonts w:ascii="Calibri" w:cs="Calibri" w:eastAsia="Calibri" w:hAnsi="Calibri"/>
          <w:sz w:val="21"/>
          <w:szCs w:val="21"/>
        </w:rPr>
        <w:t xml:space="preserve"> Each Founder shall devote his or her full time and attention to the business of the Company and shall not engage in any other business or hold any other office without the prior written consent of the Board including the Investor Director.</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b/>
          <w:bCs/>
          <w:sz w:val="21"/>
          <w:szCs w:val="21"/>
        </w:rPr>
        <w:t xml:space="preserve">Non-solicitation and confidentiality.</w:t>
      </w:r>
      <w:r>
        <w:rPr>
          <w:rFonts w:ascii="Calibri" w:cs="Calibri" w:eastAsia="Calibri" w:hAnsi="Calibri"/>
          <w:sz w:val="21"/>
          <w:szCs w:val="21"/>
        </w:rPr>
        <w:t xml:space="preserve"> Each Founder shall be bound by confidentiality obligations and by non-solicitation obligations in respect of employees and customers for </w:t>
      </w:r>
      <w:r>
        <w:rPr>
          <w:rFonts w:ascii="Calibri" w:cs="Calibri" w:eastAsia="Calibri" w:hAnsi="Calibri"/>
          <w:b/>
          <w:bCs/>
          <w:sz w:val="21"/>
          <w:szCs w:val="21"/>
        </w:rPr>
        <w:t xml:space="preserve">[NUMBER]</w:t>
      </w:r>
      <w:r>
        <w:rPr>
          <w:rFonts w:ascii="Calibri" w:cs="Calibri" w:eastAsia="Calibri" w:hAnsi="Calibri"/>
          <w:sz w:val="21"/>
          <w:szCs w:val="21"/>
        </w:rPr>
        <w:t xml:space="preserve"> months following cessation. </w:t>
      </w:r>
      <w:r>
        <w:rPr>
          <w:rFonts w:ascii="Calibri" w:cs="Calibri" w:eastAsia="Calibri" w:hAnsi="Calibri"/>
          <w:i/>
          <w:iCs/>
          <w:sz w:val="21"/>
          <w:szCs w:val="21"/>
        </w:rPr>
        <w:t xml:space="preserve">(Post-termination non-competition restraints are void under Section 27 of the Indian Contract Act, 1872 and are therefore not included — see the notes.)</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b/>
          <w:bCs/>
          <w:sz w:val="21"/>
          <w:szCs w:val="21"/>
        </w:rPr>
        <w:t xml:space="preserve">Assignment of intellectual property.</w:t>
      </w:r>
      <w:r>
        <w:rPr>
          <w:rFonts w:ascii="Calibri" w:cs="Calibri" w:eastAsia="Calibri" w:hAnsi="Calibri"/>
          <w:sz w:val="21"/>
          <w:szCs w:val="21"/>
        </w:rPr>
        <w:t xml:space="preserve"> Each Founder and each employee and consultant shall have executed an assignment of all intellectual property created for the Company, in a form satisfactory to the Lead Investor, before Completion.</w:t>
      </w:r>
    </w:p>
    <w:p>
      <w:pPr>
        <w:spacing w:after="120" w:before="60" w:line="276"/>
        <w:ind w:left="720" w:hanging="720"/>
        <w:jc w:val="both"/>
      </w:pPr>
      <w:r>
        <w:rPr>
          <w:rFonts w:ascii="Calibri" w:cs="Calibri" w:eastAsia="Calibri" w:hAnsi="Calibri"/>
          <w:sz w:val="21"/>
          <w:szCs w:val="21"/>
        </w:rPr>
        <w:t xml:space="preserve">6.7	</w:t>
      </w:r>
      <w:r>
        <w:rPr>
          <w:rFonts w:ascii="Calibri" w:cs="Calibri" w:eastAsia="Calibri" w:hAnsi="Calibri"/>
          <w:b/>
          <w:bCs/>
          <w:sz w:val="21"/>
          <w:szCs w:val="21"/>
        </w:rPr>
        <w:t xml:space="preserve">Founder remuneration.</w:t>
      </w:r>
      <w:r>
        <w:rPr>
          <w:rFonts w:ascii="Calibri" w:cs="Calibri" w:eastAsia="Calibri" w:hAnsi="Calibri"/>
          <w:sz w:val="21"/>
          <w:szCs w:val="21"/>
        </w:rPr>
        <w:t xml:space="preserve"> Founder remuneration shall be as set out in Annexure C and shall not be increased without the approval of the compensation committee including the Investor Director.</w:t>
      </w:r>
    </w:p>
    <w:p>
      <w:pPr>
        <w:keepNext/>
        <w:spacing w:after="120" w:before="280"/>
        <w:outlineLvl w:val="0"/>
      </w:pPr>
      <w:r>
        <w:rPr>
          <w:rFonts w:ascii="Calibri" w:cs="Calibri" w:eastAsia="Calibri" w:hAnsi="Calibri"/>
          <w:b/>
          <w:bCs/>
          <w:color w:val="14161B"/>
          <w:sz w:val="22"/>
          <w:szCs w:val="22"/>
        </w:rPr>
        <w:t xml:space="preserve">7. CONDITIONS AND PROCESS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b/>
          <w:bCs/>
          <w:sz w:val="21"/>
          <w:szCs w:val="21"/>
        </w:rPr>
        <w:t xml:space="preserve">Conditions precedent.</w:t>
      </w:r>
      <w:r>
        <w:rPr>
          <w:rFonts w:ascii="Calibri" w:cs="Calibri" w:eastAsia="Calibri" w:hAnsi="Calibri"/>
          <w:sz w:val="21"/>
          <w:szCs w:val="21"/>
        </w:rPr>
        <w:t xml:space="preserve"> Completion is conditional on, among other things: satisfactory completion of legal, financial, tax, technology and human-resources due diligence; execution of the definitive documents; amendment of the Articles of Association to incorporate the terms of the definitive documents; approval of the Board and of the shareholders by special resolution under Section 62(1)(c) of the Companies Act, 2013; a valuation report from a registered valuer; the ESOP Pool expansion; regularisation of any historical non-compliance identified in due diligence; and delivery of employment and intellectual property assignment agreements from each Founder and key employee.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b/>
          <w:bCs/>
          <w:sz w:val="21"/>
          <w:szCs w:val="21"/>
        </w:rPr>
        <w:t xml:space="preserve">Representations and warranties.</w:t>
      </w:r>
      <w:r>
        <w:rPr>
          <w:rFonts w:ascii="Calibri" w:cs="Calibri" w:eastAsia="Calibri" w:hAnsi="Calibri"/>
          <w:sz w:val="21"/>
          <w:szCs w:val="21"/>
        </w:rPr>
        <w:t xml:space="preserve"> The Company and the Founders shall give business, financial, tax, regulatory, intellectual property, data-protection and employment warranties customary for a transaction of this nature, qualified by a disclosure letter. The Founders’ liability shall be capped at </w:t>
      </w:r>
      <w:r>
        <w:rPr>
          <w:rFonts w:ascii="Calibri" w:cs="Calibri" w:eastAsia="Calibri" w:hAnsi="Calibri"/>
          <w:b/>
          <w:bCs/>
          <w:sz w:val="21"/>
          <w:szCs w:val="21"/>
        </w:rPr>
        <w:t xml:space="preserve">[the amount of the investment / a percentage of the investment]</w:t>
      </w:r>
      <w:r>
        <w:rPr>
          <w:rFonts w:ascii="Calibri" w:cs="Calibri" w:eastAsia="Calibri" w:hAnsi="Calibri"/>
          <w:sz w:val="21"/>
          <w:szCs w:val="21"/>
        </w:rPr>
        <w:t xml:space="preserve"> and shall survive for </w:t>
      </w:r>
      <w:r>
        <w:rPr>
          <w:rFonts w:ascii="Calibri" w:cs="Calibri" w:eastAsia="Calibri" w:hAnsi="Calibri"/>
          <w:b/>
          <w:bCs/>
          <w:sz w:val="21"/>
          <w:szCs w:val="21"/>
        </w:rPr>
        <w:t xml:space="preserve">[NUMBER]</w:t>
      </w:r>
      <w:r>
        <w:rPr>
          <w:rFonts w:ascii="Calibri" w:cs="Calibri" w:eastAsia="Calibri" w:hAnsi="Calibri"/>
          <w:sz w:val="21"/>
          <w:szCs w:val="21"/>
        </w:rPr>
        <w:t xml:space="preserve"> months, save for fundamental warranties as to title and capacity and for tax warranties, which shall survive for the statutory limitation period </w:t>
      </w:r>
      <w:r>
        <w:rPr>
          <w:rFonts w:ascii="Calibri" w:cs="Calibri" w:eastAsia="Calibri" w:hAnsi="Calibri"/>
          <w:i/>
          <w:iCs/>
          <w:sz w:val="21"/>
          <w:szCs w:val="21"/>
        </w:rPr>
        <w:t xml:space="preserve">(caps and survival periods are commercial decisions — specify)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b/>
          <w:bCs/>
          <w:sz w:val="21"/>
          <w:szCs w:val="21"/>
        </w:rPr>
        <w:t xml:space="preserve">Indemnity.</w:t>
      </w:r>
      <w:r>
        <w:rPr>
          <w:rFonts w:ascii="Calibri" w:cs="Calibri" w:eastAsia="Calibri" w:hAnsi="Calibri"/>
          <w:sz w:val="21"/>
          <w:szCs w:val="21"/>
        </w:rPr>
        <w:t xml:space="preserve"> The Company and the Founders shall indemnify the Investors against losses arising from breach of warranty and from the specific matters identified in due diligence.</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b/>
          <w:bCs/>
          <w:sz w:val="21"/>
          <w:szCs w:val="21"/>
        </w:rPr>
        <w:t xml:space="preserve">Expenses.</w:t>
      </w:r>
      <w:r>
        <w:rPr>
          <w:rFonts w:ascii="Calibri" w:cs="Calibri" w:eastAsia="Calibri" w:hAnsi="Calibri"/>
          <w:sz w:val="21"/>
          <w:szCs w:val="21"/>
        </w:rPr>
        <w:t xml:space="preserve"> The Company shall bear the reasonable legal and due-diligence costs of the Lead Investor up to ₹ </w:t>
      </w:r>
      <w:r>
        <w:rPr>
          <w:rFonts w:ascii="Calibri" w:cs="Calibri" w:eastAsia="Calibri" w:hAnsi="Calibri"/>
          <w:b/>
          <w:bCs/>
          <w:sz w:val="21"/>
          <w:szCs w:val="21"/>
        </w:rPr>
        <w:t xml:space="preserve">[CAP]</w:t>
      </w:r>
      <w:r>
        <w:rPr>
          <w:rFonts w:ascii="Calibri" w:cs="Calibri" w:eastAsia="Calibri" w:hAnsi="Calibri"/>
          <w:sz w:val="21"/>
          <w:szCs w:val="21"/>
        </w:rPr>
        <w:t xml:space="preserve">, payable only on Completion. Each party shall otherwise bear its own costs.</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b/>
          <w:bCs/>
          <w:sz w:val="21"/>
          <w:szCs w:val="21"/>
        </w:rPr>
        <w:t xml:space="preserve">Timetable.</w:t>
      </w:r>
      <w:r>
        <w:rPr>
          <w:rFonts w:ascii="Calibri" w:cs="Calibri" w:eastAsia="Calibri" w:hAnsi="Calibri"/>
          <w:sz w:val="21"/>
          <w:szCs w:val="21"/>
        </w:rPr>
        <w:t xml:space="preserve"> Due diligence to commence by </w:t>
      </w:r>
      <w:r>
        <w:rPr>
          <w:rFonts w:ascii="Calibri" w:cs="Calibri" w:eastAsia="Calibri" w:hAnsi="Calibri"/>
          <w:b/>
          <w:bCs/>
          <w:sz w:val="21"/>
          <w:szCs w:val="21"/>
        </w:rPr>
        <w:t xml:space="preserve">[DATE]</w:t>
      </w:r>
      <w:r>
        <w:rPr>
          <w:rFonts w:ascii="Calibri" w:cs="Calibri" w:eastAsia="Calibri" w:hAnsi="Calibri"/>
          <w:sz w:val="21"/>
          <w:szCs w:val="21"/>
        </w:rPr>
        <w:t xml:space="preserve">; definitive documents to be circulated by </w:t>
      </w:r>
      <w:r>
        <w:rPr>
          <w:rFonts w:ascii="Calibri" w:cs="Calibri" w:eastAsia="Calibri" w:hAnsi="Calibri"/>
          <w:b/>
          <w:bCs/>
          <w:sz w:val="21"/>
          <w:szCs w:val="21"/>
        </w:rPr>
        <w:t xml:space="preserve">[DATE]</w:t>
      </w:r>
      <w:r>
        <w:rPr>
          <w:rFonts w:ascii="Calibri" w:cs="Calibri" w:eastAsia="Calibri" w:hAnsi="Calibri"/>
          <w:sz w:val="21"/>
          <w:szCs w:val="21"/>
        </w:rPr>
        <w:t xml:space="preserve">; Completion targeted for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8. BINDING PROVISIONS</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Clauses 8.2 to 8.7 are legally binding. The remainder of this term sheet records the parties’ present intentions only and creates no legal obligation on any party to proceed with or to complete the investment.</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b/>
          <w:bCs/>
          <w:sz w:val="21"/>
          <w:szCs w:val="21"/>
        </w:rPr>
        <w:t xml:space="preserve">Exclusivity.</w:t>
      </w:r>
      <w:r>
        <w:rPr>
          <w:rFonts w:ascii="Calibri" w:cs="Calibri" w:eastAsia="Calibri" w:hAnsi="Calibri"/>
          <w:sz w:val="21"/>
          <w:szCs w:val="21"/>
        </w:rPr>
        <w:t xml:space="preserve"> For a period of </w:t>
      </w:r>
      <w:r>
        <w:rPr>
          <w:rFonts w:ascii="Calibri" w:cs="Calibri" w:eastAsia="Calibri" w:hAnsi="Calibri"/>
          <w:b/>
          <w:bCs/>
          <w:sz w:val="21"/>
          <w:szCs w:val="21"/>
        </w:rPr>
        <w:t xml:space="preserve">[45]</w:t>
      </w:r>
      <w:r>
        <w:rPr>
          <w:rFonts w:ascii="Calibri" w:cs="Calibri" w:eastAsia="Calibri" w:hAnsi="Calibri"/>
          <w:sz w:val="21"/>
          <w:szCs w:val="21"/>
        </w:rPr>
        <w:t xml:space="preserve"> days from the date of this term sheet, the Company and the Founders shall not, directly or indirectly, solicit, entertain, negotiate or accept any offer of investment in or acquisition of the Company from any other person, and shall notify the Lead Investor of any approach received.</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b/>
          <w:bCs/>
          <w:sz w:val="21"/>
          <w:szCs w:val="21"/>
        </w:rPr>
        <w:t xml:space="preserve">Confidentiality.</w:t>
      </w:r>
      <w:r>
        <w:rPr>
          <w:rFonts w:ascii="Calibri" w:cs="Calibri" w:eastAsia="Calibri" w:hAnsi="Calibri"/>
          <w:sz w:val="21"/>
          <w:szCs w:val="21"/>
        </w:rPr>
        <w:t xml:space="preserve"> No party shall disclose the existence or terms of this term sheet, or any information received in connection with it, except to its professional advisers and to persons who need to know for the purposes of the transaction, or as required by law.</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b/>
          <w:bCs/>
          <w:sz w:val="21"/>
          <w:szCs w:val="21"/>
        </w:rPr>
        <w:t xml:space="preserve">Conduct of business.</w:t>
      </w:r>
      <w:r>
        <w:rPr>
          <w:rFonts w:ascii="Calibri" w:cs="Calibri" w:eastAsia="Calibri" w:hAnsi="Calibri"/>
          <w:sz w:val="21"/>
          <w:szCs w:val="21"/>
        </w:rPr>
        <w:t xml:space="preserve"> Until the earlier of Completion and the expiry of the exclusivity period, the Company shall carry on its business in the ordinary course, shall not issue or transfer securities, incur indebtedness outside the ordinary course, declare dividends, or dispose of material assets, without the Lead Investor’s consent.</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b/>
          <w:bCs/>
          <w:sz w:val="21"/>
          <w:szCs w:val="21"/>
        </w:rPr>
        <w:t xml:space="preserve">Access.</w:t>
      </w:r>
      <w:r>
        <w:rPr>
          <w:rFonts w:ascii="Calibri" w:cs="Calibri" w:eastAsia="Calibri" w:hAnsi="Calibri"/>
          <w:sz w:val="21"/>
          <w:szCs w:val="21"/>
        </w:rPr>
        <w:t xml:space="preserve"> The Company shall give the Investors and their advisers reasonable access to its records, premises, management and auditors for the purposes of due diligence.</w:t>
      </w:r>
    </w:p>
    <w:p>
      <w:pPr>
        <w:spacing w:after="120" w:before="60" w:line="276"/>
        <w:ind w:left="720" w:hanging="720"/>
        <w:jc w:val="both"/>
      </w:pPr>
      <w:r>
        <w:rPr>
          <w:rFonts w:ascii="Calibri" w:cs="Calibri" w:eastAsia="Calibri" w:hAnsi="Calibri"/>
          <w:sz w:val="21"/>
          <w:szCs w:val="21"/>
        </w:rPr>
        <w:t xml:space="preserve">8.6	</w:t>
      </w:r>
      <w:r>
        <w:rPr>
          <w:rFonts w:ascii="Calibri" w:cs="Calibri" w:eastAsia="Calibri" w:hAnsi="Calibri"/>
          <w:b/>
          <w:bCs/>
          <w:sz w:val="21"/>
          <w:szCs w:val="21"/>
        </w:rPr>
        <w:t xml:space="preserve">Costs.</w:t>
      </w:r>
      <w:r>
        <w:rPr>
          <w:rFonts w:ascii="Calibri" w:cs="Calibri" w:eastAsia="Calibri" w:hAnsi="Calibri"/>
          <w:sz w:val="21"/>
          <w:szCs w:val="21"/>
        </w:rPr>
        <w:t xml:space="preserve"> Clause 7.4 is binding.</w:t>
      </w:r>
    </w:p>
    <w:p>
      <w:pPr>
        <w:spacing w:after="120" w:before="60" w:line="276"/>
        <w:ind w:left="720" w:hanging="720"/>
        <w:jc w:val="both"/>
      </w:pPr>
      <w:r>
        <w:rPr>
          <w:rFonts w:ascii="Calibri" w:cs="Calibri" w:eastAsia="Calibri" w:hAnsi="Calibri"/>
          <w:sz w:val="21"/>
          <w:szCs w:val="21"/>
        </w:rPr>
        <w:t xml:space="preserve">8.7	</w:t>
      </w:r>
      <w:r>
        <w:rPr>
          <w:rFonts w:ascii="Calibri" w:cs="Calibri" w:eastAsia="Calibri" w:hAnsi="Calibri"/>
          <w:b/>
          <w:bCs/>
          <w:sz w:val="21"/>
          <w:szCs w:val="21"/>
        </w:rPr>
        <w:t xml:space="preserve">Governing law.</w:t>
      </w:r>
      <w:r>
        <w:rPr>
          <w:rFonts w:ascii="Calibri" w:cs="Calibri" w:eastAsia="Calibri" w:hAnsi="Calibri"/>
          <w:sz w:val="21"/>
          <w:szCs w:val="21"/>
        </w:rPr>
        <w:t xml:space="preserve"> This term sheet is governed by the laws of India. Disputes shall be referred to arbitration seated at </w:t>
      </w:r>
      <w:r>
        <w:rPr>
          <w:rFonts w:ascii="Calibri" w:cs="Calibri" w:eastAsia="Calibri" w:hAnsi="Calibri"/>
          <w:b/>
          <w:bCs/>
          <w:sz w:val="21"/>
          <w:szCs w:val="21"/>
        </w:rPr>
        <w:t xml:space="preserve">[CITY]</w:t>
      </w:r>
      <w:r>
        <w:rPr>
          <w:rFonts w:ascii="Calibri" w:cs="Calibri" w:eastAsia="Calibri" w:hAnsi="Calibri"/>
          <w:sz w:val="21"/>
          <w:szCs w:val="21"/>
        </w:rPr>
        <w:t xml:space="preserve"> under the Arbitration and Conciliation Act, 1996, before a sole arbitrator.</w:t>
      </w:r>
    </w:p>
    <w:p>
      <w:pPr>
        <w:spacing w:after="240"/>
      </w:pPr>
    </w:p>
    <w:p>
      <w:pPr>
        <w:spacing w:after="200" w:before="0" w:line="276"/>
        <w:jc w:val="both"/>
      </w:pPr>
      <w:r>
        <w:rPr>
          <w:rFonts w:ascii="Calibri" w:cs="Calibri" w:eastAsia="Calibri" w:hAnsi="Calibri"/>
          <w:sz w:val="21"/>
          <w:szCs w:val="21"/>
        </w:rPr>
        <w:t xml:space="preserve">Agreed and accepted:</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[LEAD INVESTOR]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[FOUNDER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[FOUNDER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Reserved Matters</w:t>
      </w:r>
    </w:p>
    <w:p>
      <w:pPr>
        <w:spacing w:after="140" w:before="0" w:line="276"/>
        <w:jc w:val="both"/>
      </w:pPr>
      <w:r>
        <w:rPr>
          <w:rFonts w:ascii="Calibri" w:cs="Calibri" w:eastAsia="Calibri" w:hAnsi="Calibri"/>
          <w:sz w:val="21"/>
          <w:szCs w:val="21"/>
        </w:rPr>
        <w:t xml:space="preserve">The following shall require the prior written consent of the Lead Investor. Consent may be given by the Investor Director voting in favour at a Board meeting where the matter is a Board matter.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9060"/>
      </w:tblGrid>
      <w:tr>
        <w:trPr>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9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Reserved matter</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amendment to the Memorandum or Articles of Association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issue, allotment, buy-back, redemption, split, consolidation or reclassification of securities, or the creation of any new class of securities</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change in the authorised or paid-up share capital</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expansion of, or grant outside, the ESOP Pool, or any amendment to the ESOP scheme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merger, demerger, amalgamation, scheme of arrangement, or acquisition of or investment in another entity</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sale, lease, licence or disposal of assets, or of intellectual property, outside the ordinary course or exceeding ₹ </w:t>
            </w:r>
            <w:r>
              <w:rPr>
                <w:rFonts w:ascii="Calibri" w:cs="Calibri" w:eastAsia="Calibri" w:hAnsi="Calibri"/>
                <w:b/>
                <w:bCs/>
                <w:sz w:val="19"/>
                <w:szCs w:val="19"/>
              </w:rPr>
              <w:t xml:space="preserve">[THRESHOLD]</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Incurring indebtedness, giving any guarantee, or creating any encumbrance, exceeding ₹ </w:t>
            </w:r>
            <w:r>
              <w:rPr>
                <w:rFonts w:ascii="Calibri" w:cs="Calibri" w:eastAsia="Calibri" w:hAnsi="Calibri"/>
                <w:b/>
                <w:bCs/>
                <w:sz w:val="19"/>
                <w:szCs w:val="19"/>
              </w:rPr>
              <w:t xml:space="preserve">[THRESHOLD]</w:t>
            </w:r>
            <w:r>
              <w:rPr>
                <w:rFonts w:ascii="Calibri" w:cs="Calibri" w:eastAsia="Calibri" w:hAnsi="Calibri"/>
                <w:sz w:val="19"/>
                <w:szCs w:val="19"/>
              </w:rPr>
              <w:t xml:space="preserve"> in aggregate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Approval of, or material deviation from, the annual budget and business plan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capital expenditure exceeding ₹ </w:t>
            </w:r>
            <w:r>
              <w:rPr>
                <w:rFonts w:ascii="Calibri" w:cs="Calibri" w:eastAsia="Calibri" w:hAnsi="Calibri"/>
                <w:b/>
                <w:bCs/>
                <w:sz w:val="19"/>
                <w:szCs w:val="19"/>
              </w:rPr>
              <w:t xml:space="preserve">[THRESHOLD]</w:t>
            </w:r>
            <w:r>
              <w:rPr>
                <w:rFonts w:ascii="Calibri" w:cs="Calibri" w:eastAsia="Calibri" w:hAnsi="Calibri"/>
                <w:sz w:val="19"/>
                <w:szCs w:val="19"/>
              </w:rPr>
              <w:t xml:space="preserve"> not provided for in the approved budget</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Declaration or payment of any dividend or other distribution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change in the size or composition of the Board, or in the terms of appointment or removal of directors</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Appointment, removal or change in the terms of employment of the Founders or of any employee whose annual cost to company exceeds ₹ </w:t>
            </w:r>
            <w:r>
              <w:rPr>
                <w:rFonts w:ascii="Calibri" w:cs="Calibri" w:eastAsia="Calibri" w:hAnsi="Calibri"/>
                <w:b/>
                <w:bCs/>
                <w:sz w:val="19"/>
                <w:szCs w:val="19"/>
              </w:rPr>
              <w:t xml:space="preserve">[THRESHOLD]</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13</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related party transaction, or any transaction with a Founder or a relative or affiliate of a Founder</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14</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Appointment or removal of the statutory auditors, or any change in accounting policies or the financial year</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15</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Commencement or settlement of any litigation or arbitration involving more than ₹ </w:t>
            </w:r>
            <w:r>
              <w:rPr>
                <w:rFonts w:ascii="Calibri" w:cs="Calibri" w:eastAsia="Calibri" w:hAnsi="Calibri"/>
                <w:b/>
                <w:bCs/>
                <w:sz w:val="19"/>
                <w:szCs w:val="19"/>
              </w:rPr>
              <w:t xml:space="preserve">[THRESHOLD]</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16</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change in the nature or scope of the business, or entry into a new line of business or a new geography</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17</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Incorporation, dissolution or change in shareholding of any subsidiary, or establishment of any branch or joint venture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18</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Voluntary winding up, or the filing of, or consent to, any insolvency proceeding</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19</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transaction that would result in the Company ceasing to be a private limited company, or in a listing of its securities</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20</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Adoption of or material change to the Company’s data-protection, information-security or anti-bribery policies</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What is binding and what is not</w:t>
      </w:r>
    </w:p>
    <w:p>
      <w:pPr>
        <w:spacing w:after="60" w:line="264"/>
        <w:jc w:val="both"/>
      </w:pPr>
      <w:r>
        <w:rPr>
          <w:rFonts w:ascii="Calibri" w:cs="Calibri" w:eastAsia="Calibri" w:hAnsi="Calibri"/>
          <w:sz w:val="19"/>
          <w:szCs w:val="19"/>
        </w:rPr>
        <w:t xml:space="preserve">Only Clause 8 binds. Everything else is a statement of intention. Say so expressly, as this template does — a term sheet that is silent on the point invites an argument that the parties had concluded a contract. Exclusivity, confidentiality and conduct-of-business covenants are what the Investor is actually buying at this stage, and the Company should be alert to the fact that it is giving up its ability to run a process for the exclusivity period.</w:t>
      </w:r>
    </w:p>
    <w:p>
      <w:pPr>
        <w:keepNext/>
        <w:spacing w:after="40" w:before="140"/>
      </w:pPr>
      <w:r>
        <w:rPr>
          <w:rFonts w:ascii="Calibri" w:cs="Calibri" w:eastAsia="Calibri" w:hAnsi="Calibri"/>
          <w:b/>
          <w:bCs/>
          <w:color w:val="14161B"/>
          <w:sz w:val="20"/>
          <w:szCs w:val="20"/>
        </w:rPr>
        <w:t xml:space="preserve">CCPS, not equity, and not a SAFE</w:t>
      </w:r>
    </w:p>
    <w:p>
      <w:pPr>
        <w:spacing w:after="60" w:line="264"/>
        <w:jc w:val="both"/>
      </w:pPr>
      <w:r>
        <w:rPr>
          <w:rFonts w:ascii="Calibri" w:cs="Calibri" w:eastAsia="Calibri" w:hAnsi="Calibri"/>
          <w:sz w:val="19"/>
          <w:szCs w:val="19"/>
        </w:rPr>
        <w:t xml:space="preserve">Indian venture rounds are almost always subscribed in compulsorily convertible preference shares. CCPS are treated as equity instruments under the Foreign Exchange Management (Non-debt Instruments) Rules, 2019, which keeps a foreign investor outside the external commercial borrowing framework, and they carry the liquidation preference without which the economics of a preferred round do not work. Optionally convertible instruments are treated as debt and should not be used for a venture round involving a non-resident.</w:t>
      </w:r>
    </w:p>
    <w:p>
      <w:pPr>
        <w:keepNext/>
        <w:spacing w:after="40" w:before="140"/>
      </w:pPr>
      <w:r>
        <w:rPr>
          <w:rFonts w:ascii="Calibri" w:cs="Calibri" w:eastAsia="Calibri" w:hAnsi="Calibri"/>
          <w:b/>
          <w:bCs/>
          <w:color w:val="14161B"/>
          <w:sz w:val="20"/>
          <w:szCs w:val="20"/>
        </w:rPr>
        <w:t xml:space="preserve">Angel tax is gone — valuation discipline is not</w:t>
      </w:r>
    </w:p>
    <w:p>
      <w:pPr>
        <w:spacing w:after="60" w:line="264"/>
        <w:jc w:val="both"/>
      </w:pPr>
      <w:r>
        <w:rPr>
          <w:rFonts w:ascii="Calibri" w:cs="Calibri" w:eastAsia="Calibri" w:hAnsi="Calibri"/>
          <w:sz w:val="19"/>
          <w:szCs w:val="19"/>
        </w:rPr>
        <w:t xml:space="preserve">Section 56(2)(viib) of the Income-tax Act, 1961 was omitted by the Finance (No. 2) Act, 2024 with effect from assessment year 2025-26, and has not been re-enacted in the Income-tax Act, 2025. A company may now issue shares at any premium without the excess over fair market value being taxed in its hands. That removes a tax exposure; it does not remove the need for a defensible valuation. Section 62(1)(c) of the Companies Act, 2013 still requires a registered-valuer report for a preferential allotment, the FEMA pricing floor still applies to non-resident subscribers, and unexplained share capital can still be examined as an unexplained cash credit.</w:t>
      </w:r>
    </w:p>
    <w:p>
      <w:pPr>
        <w:keepNext/>
        <w:spacing w:after="40" w:before="140"/>
      </w:pPr>
      <w:r>
        <w:rPr>
          <w:rFonts w:ascii="Calibri" w:cs="Calibri" w:eastAsia="Calibri" w:hAnsi="Calibri"/>
          <w:b/>
          <w:bCs/>
          <w:color w:val="14161B"/>
          <w:sz w:val="20"/>
          <w:szCs w:val="20"/>
        </w:rPr>
        <w:t xml:space="preserve">FEMA pricing floor and reporting</w:t>
      </w:r>
    </w:p>
    <w:p>
      <w:pPr>
        <w:spacing w:after="60" w:line="264"/>
        <w:jc w:val="both"/>
      </w:pPr>
      <w:r>
        <w:rPr>
          <w:rFonts w:ascii="Calibri" w:cs="Calibri" w:eastAsia="Calibri" w:hAnsi="Calibri"/>
          <w:sz w:val="19"/>
          <w:szCs w:val="19"/>
        </w:rPr>
        <w:t xml:space="preserve">Where any Investor is a person resident outside India, the issue price may not be below fair market value determined under Rule 21 of the NDI Rules by an internationally accepted pricing methodology on an arm’s length basis, certified by a chartered accountant, a SEBI-registered merchant banker or a practising cost accountant. Practice treats the certificate as valid for 90 days. Shares must be allotted within 60 days of receipt of the money, and Form FC-GPR filed on the FIRMS portal within 30 days of allotment. Note that the RBI has published draft foreign investment rules intended to replace the NDI Rules; until those are notified, the NDI Rules govern — confirm the position at the time of the round.</w:t>
      </w:r>
    </w:p>
    <w:p>
      <w:pPr>
        <w:keepNext/>
        <w:spacing w:after="40" w:before="140"/>
      </w:pPr>
      <w:r>
        <w:rPr>
          <w:rFonts w:ascii="Calibri" w:cs="Calibri" w:eastAsia="Calibri" w:hAnsi="Calibri"/>
          <w:b/>
          <w:bCs/>
          <w:color w:val="14161B"/>
          <w:sz w:val="20"/>
          <w:szCs w:val="20"/>
        </w:rPr>
        <w:t xml:space="preserve">Assured returns to non-residents</w:t>
      </w:r>
    </w:p>
    <w:p>
      <w:pPr>
        <w:spacing w:after="60" w:line="264"/>
        <w:jc w:val="both"/>
      </w:pPr>
      <w:r>
        <w:rPr>
          <w:rFonts w:ascii="Calibri" w:cs="Calibri" w:eastAsia="Calibri" w:hAnsi="Calibri"/>
          <w:sz w:val="19"/>
          <w:szCs w:val="19"/>
        </w:rPr>
        <w:t xml:space="preserve">A put option or exit right that guarantees a non-resident investor a fixed or assured return converts an equity instrument into debt in the eyes of FEMA and is not permitted. An exit right expressed as a right to require a sale process, or a put exercisable at fair market value determined at the time of exercise, is the usual structure. Draft Clause 5.6 with that constraint in mind if any Investor is a non-resident.</w:t>
      </w:r>
    </w:p>
    <w:p>
      <w:pPr>
        <w:keepNext/>
        <w:spacing w:after="40" w:before="140"/>
      </w:pPr>
      <w:r>
        <w:rPr>
          <w:rFonts w:ascii="Calibri" w:cs="Calibri" w:eastAsia="Calibri" w:hAnsi="Calibri"/>
          <w:b/>
          <w:bCs/>
          <w:color w:val="14161B"/>
          <w:sz w:val="20"/>
          <w:szCs w:val="20"/>
        </w:rPr>
        <w:t xml:space="preserve">Section 27 and the absence of a non-compete</w:t>
      </w:r>
    </w:p>
    <w:p>
      <w:pPr>
        <w:spacing w:after="60" w:line="264"/>
        <w:jc w:val="both"/>
      </w:pPr>
      <w:r>
        <w:rPr>
          <w:rFonts w:ascii="Calibri" w:cs="Calibri" w:eastAsia="Calibri" w:hAnsi="Calibri"/>
          <w:sz w:val="19"/>
          <w:szCs w:val="19"/>
        </w:rPr>
        <w:t xml:space="preserve">Clause 6.5 deliberately omits any post-termination non-competition covenant on the Founders. Section 27 of the Indian Contract Act, 1872 voids agreements in restraint of trade, and Indian courts have consistently declined to enforce post-employment non-competes. Non-solicitation of employees and customers, confidentiality, and restraints operating during the engagement remain enforceable. Investors used to other jurisdictions frequently ask for a non-compete; it is better to explain why it will not hold than to include a clause that gives false comfort.</w:t>
      </w:r>
    </w:p>
    <w:p>
      <w:pPr>
        <w:keepNext/>
        <w:spacing w:after="40" w:before="140"/>
      </w:pPr>
      <w:r>
        <w:rPr>
          <w:rFonts w:ascii="Calibri" w:cs="Calibri" w:eastAsia="Calibri" w:hAnsi="Calibri"/>
          <w:b/>
          <w:bCs/>
          <w:color w:val="14161B"/>
          <w:sz w:val="20"/>
          <w:szCs w:val="20"/>
        </w:rPr>
        <w:t xml:space="preserve">Getting the terms into the Articles</w:t>
      </w:r>
    </w:p>
    <w:p>
      <w:pPr>
        <w:spacing w:after="60" w:line="264"/>
        <w:jc w:val="both"/>
      </w:pPr>
      <w:r>
        <w:rPr>
          <w:rFonts w:ascii="Calibri" w:cs="Calibri" w:eastAsia="Calibri" w:hAnsi="Calibri"/>
          <w:sz w:val="19"/>
          <w:szCs w:val="19"/>
        </w:rPr>
        <w:t xml:space="preserve">A shareholders’ agreement binds only the parties to it. To bind the Company and to be enforceable against a transferee, transfer restrictions, reserved matters, drag rights and preference terms must be written into the Articles of Association and the amendment registered. The proviso to Section 58(2) of the Companies Act, 2013 makes a contract for the transfer of securities of a private company enforceable as a contract, but the practical position is unchanged: amend the Articles.</w:t>
      </w:r>
    </w:p>
    <w:p>
      <w:pPr>
        <w:keepNext/>
        <w:spacing w:after="40" w:before="140"/>
      </w:pPr>
      <w:r>
        <w:rPr>
          <w:rFonts w:ascii="Calibri" w:cs="Calibri" w:eastAsia="Calibri" w:hAnsi="Calibri"/>
          <w:b/>
          <w:bCs/>
          <w:color w:val="14161B"/>
          <w:sz w:val="20"/>
          <w:szCs w:val="20"/>
        </w:rPr>
        <w:t xml:space="preserve">The ESOP pool shell game</w:t>
      </w:r>
    </w:p>
    <w:p>
      <w:pPr>
        <w:spacing w:after="60" w:line="264"/>
        <w:jc w:val="both"/>
      </w:pPr>
      <w:r>
        <w:rPr>
          <w:rFonts w:ascii="Calibri" w:cs="Calibri" w:eastAsia="Calibri" w:hAnsi="Calibri"/>
          <w:sz w:val="19"/>
          <w:szCs w:val="19"/>
        </w:rPr>
        <w:t xml:space="preserve">Whether the pool expansion is taken pre-money or post-money is the single most commonly misunderstood economic term in a term sheet. Pre-money, the dilution falls entirely on the existing shareholders and the Investor’s effective valuation is lower than the headline. Post-money, it is shared. State it explicitly. Run the capitalisation table both ways before signing.</w:t>
      </w:r>
    </w:p>
    <w:p>
      <w:pPr>
        <w:keepNext/>
        <w:spacing w:after="40" w:before="140"/>
      </w:pPr>
      <w:r>
        <w:rPr>
          <w:rFonts w:ascii="Calibri" w:cs="Calibri" w:eastAsia="Calibri" w:hAnsi="Calibri"/>
          <w:b/>
          <w:bCs/>
          <w:color w:val="14161B"/>
          <w:sz w:val="20"/>
          <w:szCs w:val="20"/>
        </w:rPr>
        <w:t xml:space="preserve">Anti-dilution mechanics</w:t>
      </w:r>
    </w:p>
    <w:p>
      <w:pPr>
        <w:spacing w:after="60" w:line="264"/>
        <w:jc w:val="both"/>
      </w:pPr>
      <w:r>
        <w:rPr>
          <w:rFonts w:ascii="Calibri" w:cs="Calibri" w:eastAsia="Calibri" w:hAnsi="Calibri"/>
          <w:sz w:val="19"/>
          <w:szCs w:val="19"/>
        </w:rPr>
        <w:t xml:space="preserve">Because Indian company law does not permit an issue of shares below face value, an anti-dilution adjustment must operate by changing the conversion ratio of the CCPS rather than by repricing. Broad-based weighted average is the market norm; full ratchet transfers the entire risk of a down round to the Founders and should be resisted.</w:t>
      </w:r>
    </w:p>
    <w:p>
      <w:pPr>
        <w:keepNext/>
        <w:spacing w:after="40" w:before="140"/>
      </w:pPr>
      <w:r>
        <w:rPr>
          <w:rFonts w:ascii="Calibri" w:cs="Calibri" w:eastAsia="Calibri" w:hAnsi="Calibri"/>
          <w:b/>
          <w:bCs/>
          <w:color w:val="14161B"/>
          <w:sz w:val="20"/>
          <w:szCs w:val="20"/>
        </w:rPr>
        <w:t xml:space="preserve">Liquidation preference — participating or not</w:t>
      </w:r>
    </w:p>
    <w:p>
      <w:pPr>
        <w:spacing w:after="60" w:line="264"/>
        <w:jc w:val="both"/>
      </w:pPr>
      <w:r>
        <w:rPr>
          <w:rFonts w:ascii="Calibri" w:cs="Calibri" w:eastAsia="Calibri" w:hAnsi="Calibri"/>
          <w:sz w:val="19"/>
          <w:szCs w:val="19"/>
        </w:rPr>
        <w:t xml:space="preserve">A non-participating 1x preference means the Investor takes the higher of its money back or its as-converted share. A participating preference means it takes both. On a modest exit the difference between the two is the difference between a Founder outcome and no Founder outcome. Model the waterfall at three exit values before agreeing the term.</w:t>
      </w:r>
    </w:p>
    <w:p>
      <w:pPr>
        <w:keepNext/>
        <w:spacing w:after="40" w:before="140"/>
      </w:pPr>
      <w:r>
        <w:rPr>
          <w:rFonts w:ascii="Calibri" w:cs="Calibri" w:eastAsia="Calibri" w:hAnsi="Calibri"/>
          <w:b/>
          <w:bCs/>
          <w:color w:val="14161B"/>
          <w:sz w:val="20"/>
          <w:szCs w:val="20"/>
        </w:rPr>
        <w:t xml:space="preserve">Founder vesting is normal</w:t>
      </w:r>
    </w:p>
    <w:p>
      <w:pPr>
        <w:spacing w:after="60" w:line="264"/>
        <w:jc w:val="both"/>
      </w:pPr>
      <w:r>
        <w:rPr>
          <w:rFonts w:ascii="Calibri" w:cs="Calibri" w:eastAsia="Calibri" w:hAnsi="Calibri"/>
          <w:sz w:val="19"/>
          <w:szCs w:val="19"/>
        </w:rPr>
        <w:t xml:space="preserve">Reverse vesting on existing Founder shares is standard and is not a signal of distrust; it protects the Founders from each other as much as it protects the Investor. Negotiate credit for time already served, a narrow definition of Bad Leaver, and acceleration on a change of control.</w:t>
      </w:r>
    </w:p>
    <w:p>
      <w:pPr>
        <w:keepNext/>
        <w:spacing w:after="40" w:before="140"/>
      </w:pPr>
      <w:r>
        <w:rPr>
          <w:rFonts w:ascii="Calibri" w:cs="Calibri" w:eastAsia="Calibri" w:hAnsi="Calibri"/>
          <w:b/>
          <w:bCs/>
          <w:color w:val="14161B"/>
          <w:sz w:val="20"/>
          <w:szCs w:val="20"/>
        </w:rPr>
        <w:t xml:space="preserve">Stamp duty and filings</w:t>
      </w:r>
    </w:p>
    <w:p>
      <w:pPr>
        <w:spacing w:after="60" w:line="264"/>
        <w:jc w:val="both"/>
      </w:pPr>
      <w:r>
        <w:rPr>
          <w:rFonts w:ascii="Calibri" w:cs="Calibri" w:eastAsia="Calibri" w:hAnsi="Calibri"/>
          <w:sz w:val="19"/>
          <w:szCs w:val="19"/>
        </w:rPr>
        <w:t xml:space="preserve">Stamp duty on the term sheet itself is nominal and State-specific. On issue of the CCPS, duty of 0.005 per cent applies under the Indian Stamp Act, 1899 as amended. Corporate filings on Completion include MGT-14 for the special resolution and PAS-3 for the return of allotment, with PAS-4 offer letters and a separate bank account for the subscription money under the private placement provisions of Section 42.</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Company law, FEMA and tax positions in a venture round move frequently — have the term sheet reviewed before signature, and the definitive documents drafted, by counsel.</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2026-08-21T12:53:53.034Z</dcterms:created>
  <dcterms:modified xsi:type="dcterms:W3CDTF">2026-08-21T12:53:53.034Z</dcterms:modified>
</cp:coreProperties>
</file>

<file path=docProps/custom.xml><?xml version="1.0" encoding="utf-8"?>
<Properties xmlns="http://schemas.openxmlformats.org/officeDocument/2006/custom-properties" xmlns:vt="http://schemas.openxmlformats.org/officeDocument/2006/docPropsVTypes"/>
</file>