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TAX REGIME DECLARATION</w:t>
      </w:r>
    </w:p>
    <w:p>
      <w:pPr>
        <w:spacing w:after="260"/>
        <w:jc w:val="center"/>
      </w:pPr>
      <w:r>
        <w:rPr>
          <w:rFonts w:ascii="Calibri" w:cs="Calibri" w:eastAsia="Calibri" w:hAnsi="Calibri"/>
          <w:i/>
          <w:iCs/>
          <w:color w:val="6E7480"/>
          <w:sz w:val="19"/>
          <w:szCs w:val="19"/>
        </w:rPr>
        <w:t xml:space="preserve">Election of tax regime for salary withholding</w:t>
      </w:r>
    </w:p>
    <w:p>
      <w:pPr>
        <w:spacing w:after="180" w:before="0" w:line="276"/>
        <w:jc w:val="both"/>
      </w:pPr>
      <w:r>
        <w:rPr>
          <w:rFonts w:ascii="Calibri" w:cs="Calibri" w:eastAsia="Calibri" w:hAnsi="Calibri"/>
          <w:i/>
          <w:iCs/>
          <w:color w:val="6E7480"/>
          <w:sz w:val="21"/>
          <w:szCs w:val="21"/>
        </w:rPr>
        <w:t xml:space="preserve">Collect this in the first month of the financial year. Where an employee makes no election, the default regime prescribed by law applies, and the employee should be told that rather than left to discover it from a payslip. The election here is for withholding only; the employee’s final position is settled in the return of income.</w:t>
      </w:r>
    </w:p>
    <w:p>
      <w:pPr>
        <w:spacing w:after="18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  TAN: </w:t>
      </w:r>
      <w:r>
        <w:rPr>
          <w:rFonts w:ascii="Calibri" w:cs="Calibri" w:eastAsia="Calibri" w:hAnsi="Calibri"/>
          <w:b/>
          <w:bCs/>
          <w:sz w:val="21"/>
          <w:szCs w:val="21"/>
        </w:rPr>
        <w:t xml:space="preserve">[TAN]</w:t>
      </w:r>
      <w:r>
        <w:rPr>
          <w:rFonts w:ascii="Calibri" w:cs="Calibri" w:eastAsia="Calibri" w:hAnsi="Calibri"/>
          <w:sz w:val="21"/>
          <w:szCs w:val="21"/>
        </w:rPr>
        <w:t xml:space="preserve">  </w:t>
      </w:r>
      <w:r>
        <w:rPr>
          <w:rFonts w:ascii="Calibri" w:cs="Calibri" w:eastAsia="Calibri" w:hAnsi="Calibri"/>
          <w:b/>
          <w:bCs/>
          <w:sz w:val="21"/>
          <w:szCs w:val="21"/>
        </w:rPr>
        <w:t xml:space="preserve">[ADDRESS]</w:t>
      </w:r>
    </w:p>
    <w:p>
      <w:pPr>
        <w:keepNext/>
        <w:spacing w:after="120" w:before="280"/>
        <w:outlineLvl w:val="0"/>
      </w:pPr>
      <w:r>
        <w:rPr>
          <w:rFonts w:ascii="Calibri" w:cs="Calibri" w:eastAsia="Calibri" w:hAnsi="Calibri"/>
          <w:b/>
          <w:bCs/>
          <w:color w:val="14161B"/>
          <w:sz w:val="22"/>
          <w:szCs w:val="22"/>
        </w:rPr>
        <w:t xml:space="preserve">1. PARTICULARS OF THE EMPLOYEE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240"/>
        <w:gridCol w:w="5398"/>
      </w:tblGrid>
      <w:tr>
        <w:trPr>
          <w:tblHeader/>
        </w:trPr>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3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Name</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 identification number</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[ID]</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Permanent account number</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[PAN]</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Financial year</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[YEAR]</w:t>
            </w:r>
            <w:r>
              <w:rPr>
                <w:rFonts w:ascii="Calibri" w:cs="Calibri" w:eastAsia="Calibri" w:hAnsi="Calibri"/>
                <w:b/>
                <w:bCs/>
                <w:sz w:val="19"/>
                <w:szCs w:val="19"/>
              </w:rPr>
              <w:t xml:space="preserve">–</w:t>
            </w:r>
            <w:r>
              <w:rPr>
                <w:rFonts w:ascii="Calibri" w:cs="Calibri" w:eastAsia="Calibri" w:hAnsi="Calibri"/>
                <w:b/>
                <w:bCs/>
                <w:sz w:val="19"/>
                <w:szCs w:val="19"/>
              </w:rPr>
              <w:t xml:space="preserve">[YEAR]</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joining, where joined during the year</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Estimated annual salary</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[AMOUNT]</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Regime applied in the previous financial year</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[New / Old / Not applicable]</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Declaration due by</w:t>
            </w:r>
          </w:p>
        </w:tc>
        <w:tc>
          <w:tcPr>
            <w:tcW w:type="dxa" w:w="539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60"/>
      </w:pPr>
    </w:p>
    <w:p>
      <w:pPr>
        <w:keepNext/>
        <w:spacing w:after="120" w:before="280"/>
        <w:outlineLvl w:val="0"/>
      </w:pPr>
      <w:r>
        <w:rPr>
          <w:rFonts w:ascii="Calibri" w:cs="Calibri" w:eastAsia="Calibri" w:hAnsi="Calibri"/>
          <w:b/>
          <w:bCs/>
          <w:color w:val="14161B"/>
          <w:sz w:val="22"/>
          <w:szCs w:val="22"/>
        </w:rPr>
        <w:t xml:space="preserve">2. ELECTION</w:t>
      </w:r>
    </w:p>
    <w:p>
      <w:pPr>
        <w:spacing w:after="140" w:before="0" w:line="276"/>
        <w:jc w:val="both"/>
      </w:pPr>
      <w:r>
        <w:rPr>
          <w:rFonts w:ascii="Calibri" w:cs="Calibri" w:eastAsia="Calibri" w:hAnsi="Calibri"/>
          <w:sz w:val="21"/>
          <w:szCs w:val="21"/>
        </w:rPr>
        <w:t xml:space="preserve">I hereby elect that tax on my salary income for the financial year </w:t>
      </w:r>
      <w:r>
        <w:rPr>
          <w:rFonts w:ascii="Calibri" w:cs="Calibri" w:eastAsia="Calibri" w:hAnsi="Calibri"/>
          <w:b/>
          <w:bCs/>
          <w:sz w:val="21"/>
          <w:szCs w:val="21"/>
        </w:rPr>
        <w:t xml:space="preserve">[YEAR]</w:t>
      </w:r>
      <w:r>
        <w:rPr>
          <w:rFonts w:ascii="Calibri" w:cs="Calibri" w:eastAsia="Calibri" w:hAnsi="Calibri"/>
          <w:b/>
          <w:bCs/>
          <w:sz w:val="21"/>
          <w:szCs w:val="21"/>
        </w:rPr>
        <w:t xml:space="preserve">–</w:t>
      </w:r>
      <w:r>
        <w:rPr>
          <w:rFonts w:ascii="Calibri" w:cs="Calibri" w:eastAsia="Calibri" w:hAnsi="Calibri"/>
          <w:b/>
          <w:bCs/>
          <w:sz w:val="21"/>
          <w:szCs w:val="21"/>
        </w:rPr>
        <w:t xml:space="preserve">[YEAR]</w:t>
      </w:r>
      <w:r>
        <w:rPr>
          <w:rFonts w:ascii="Calibri" w:cs="Calibri" w:eastAsia="Calibri" w:hAnsi="Calibri"/>
          <w:sz w:val="21"/>
          <w:szCs w:val="21"/>
        </w:rPr>
        <w:t xml:space="preserve"> be deducted under: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349"/>
        <w:gridCol w:w="8289"/>
      </w:tblGrid>
      <w:tr>
        <w:trPr>
          <w:tblHeader/>
        </w:trPr>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Tick one</w:t>
            </w:r>
          </w:p>
        </w:tc>
        <w:tc>
          <w:tcPr>
            <w:tcW w:type="dxa" w:w="828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Regime</w:t>
            </w:r>
          </w:p>
        </w:tc>
      </w:tr>
      <w:tr>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828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The new tax regime</w:t>
            </w:r>
            <w:r>
              <w:rPr>
                <w:rFonts w:ascii="Calibri" w:cs="Calibri" w:eastAsia="Calibri" w:hAnsi="Calibri"/>
                <w:sz w:val="19"/>
                <w:szCs w:val="19"/>
              </w:rPr>
              <w:t xml:space="preserve"> — lower slab rates, but most exemptions and deductions are not available</w:t>
            </w:r>
          </w:p>
        </w:tc>
      </w:tr>
      <w:tr>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828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The old tax regime</w:t>
            </w:r>
            <w:r>
              <w:rPr>
                <w:rFonts w:ascii="Calibri" w:cs="Calibri" w:eastAsia="Calibri" w:hAnsi="Calibri"/>
                <w:sz w:val="19"/>
                <w:szCs w:val="19"/>
              </w:rPr>
              <w:t xml:space="preserve"> — higher slab rates, with exemptions and deductions available subject to evidence</w:t>
            </w:r>
          </w:p>
        </w:tc>
      </w:tr>
    </w:tbl>
    <w:p>
      <w:pPr>
        <w:spacing w:after="160"/>
      </w:pPr>
    </w:p>
    <w:p>
      <w:pPr>
        <w:keepNext/>
        <w:spacing w:after="120" w:before="280"/>
        <w:outlineLvl w:val="0"/>
      </w:pPr>
      <w:r>
        <w:rPr>
          <w:rFonts w:ascii="Calibri" w:cs="Calibri" w:eastAsia="Calibri" w:hAnsi="Calibri"/>
          <w:b/>
          <w:bCs/>
          <w:color w:val="14161B"/>
          <w:sz w:val="22"/>
          <w:szCs w:val="22"/>
        </w:rPr>
        <w:t xml:space="preserve">3. WHAT EACH REGIME MEANS</w:t>
      </w:r>
    </w:p>
    <w:p>
      <w:pPr>
        <w:spacing w:after="120" w:before="0" w:line="276"/>
        <w:jc w:val="both"/>
      </w:pPr>
      <w:r>
        <w:rPr>
          <w:rFonts w:ascii="Calibri" w:cs="Calibri" w:eastAsia="Calibri" w:hAnsi="Calibri"/>
          <w:i/>
          <w:iCs/>
          <w:sz w:val="21"/>
          <w:szCs w:val="21"/>
        </w:rPr>
        <w:t xml:space="preserve">Indicative only. The list is not exhaustive and the position changes from year to year — confirm the current position before relying on it.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2987"/>
        <w:gridCol w:w="2989"/>
      </w:tblGrid>
      <w:tr>
        <w:trPr>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298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New regime</w:t>
            </w:r>
          </w:p>
        </w:tc>
        <w:tc>
          <w:tcPr>
            <w:tcW w:type="dxa" w:w="298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Old regime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Slab rates</w:t>
            </w:r>
          </w:p>
        </w:tc>
        <w:tc>
          <w:tcPr>
            <w:tcW w:type="dxa" w:w="298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Lower</w:t>
            </w:r>
          </w:p>
        </w:tc>
        <w:tc>
          <w:tcPr>
            <w:tcW w:type="dxa" w:w="298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Higher</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Standard deduction from salary</w:t>
            </w:r>
          </w:p>
        </w:tc>
        <w:tc>
          <w:tcPr>
            <w:tcW w:type="dxa" w:w="298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Available</w:t>
            </w:r>
          </w:p>
        </w:tc>
        <w:tc>
          <w:tcPr>
            <w:tcW w:type="dxa" w:w="298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Available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Rebate for income up to the prescribed threshold</w:t>
            </w:r>
          </w:p>
        </w:tc>
        <w:tc>
          <w:tcPr>
            <w:tcW w:type="dxa" w:w="298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Available, at the higher threshold applicable to this regime</w:t>
            </w:r>
          </w:p>
        </w:tc>
        <w:tc>
          <w:tcPr>
            <w:tcW w:type="dxa" w:w="298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Available, at the lower threshold applicable to this regime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House rent allowance exemption</w:t>
            </w:r>
          </w:p>
        </w:tc>
        <w:tc>
          <w:tcPr>
            <w:tcW w:type="dxa" w:w="298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 available</w:t>
            </w:r>
          </w:p>
        </w:tc>
        <w:tc>
          <w:tcPr>
            <w:tcW w:type="dxa" w:w="298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Available, subject to evidence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Leave travel concession</w:t>
            </w:r>
          </w:p>
        </w:tc>
        <w:tc>
          <w:tcPr>
            <w:tcW w:type="dxa" w:w="298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 available</w:t>
            </w:r>
          </w:p>
        </w:tc>
        <w:tc>
          <w:tcPr>
            <w:tcW w:type="dxa" w:w="298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Available, subject to evidence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Deduction for specified investments and payments</w:t>
            </w:r>
          </w:p>
        </w:tc>
        <w:tc>
          <w:tcPr>
            <w:tcW w:type="dxa" w:w="298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 available</w:t>
            </w:r>
          </w:p>
        </w:tc>
        <w:tc>
          <w:tcPr>
            <w:tcW w:type="dxa" w:w="298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Available, subject to evidence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Medical insurance premium</w:t>
            </w:r>
          </w:p>
        </w:tc>
        <w:tc>
          <w:tcPr>
            <w:tcW w:type="dxa" w:w="298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 available</w:t>
            </w:r>
          </w:p>
        </w:tc>
        <w:tc>
          <w:tcPr>
            <w:tcW w:type="dxa" w:w="298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Available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Interest on a housing loan — self-occupied property</w:t>
            </w:r>
          </w:p>
        </w:tc>
        <w:tc>
          <w:tcPr>
            <w:tcW w:type="dxa" w:w="298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 available</w:t>
            </w:r>
          </w:p>
        </w:tc>
        <w:tc>
          <w:tcPr>
            <w:tcW w:type="dxa" w:w="298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Available, within limits</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Interest on a housing loan — let-out property</w:t>
            </w:r>
          </w:p>
        </w:tc>
        <w:tc>
          <w:tcPr>
            <w:tcW w:type="dxa" w:w="298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Available against rental income, with restriction on set-off</w:t>
            </w:r>
          </w:p>
        </w:tc>
        <w:tc>
          <w:tcPr>
            <w:tcW w:type="dxa" w:w="298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Available, with restriction on set-off against salary</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Employer contribution to the national pension system</w:t>
            </w:r>
          </w:p>
        </w:tc>
        <w:tc>
          <w:tcPr>
            <w:tcW w:type="dxa" w:w="298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Available</w:t>
            </w:r>
          </w:p>
        </w:tc>
        <w:tc>
          <w:tcPr>
            <w:tcW w:type="dxa" w:w="298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Available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Deduction for a person with disability</w:t>
            </w:r>
          </w:p>
        </w:tc>
        <w:tc>
          <w:tcPr>
            <w:tcW w:type="dxa" w:w="298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 available</w:t>
            </w:r>
          </w:p>
        </w:tc>
        <w:tc>
          <w:tcPr>
            <w:tcW w:type="dxa" w:w="298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Available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Professional tax</w:t>
            </w:r>
          </w:p>
        </w:tc>
        <w:tc>
          <w:tcPr>
            <w:tcW w:type="dxa" w:w="298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 available</w:t>
            </w:r>
          </w:p>
        </w:tc>
        <w:tc>
          <w:tcPr>
            <w:tcW w:type="dxa" w:w="298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Available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Set-off of loss from house property against salary</w:t>
            </w:r>
          </w:p>
        </w:tc>
        <w:tc>
          <w:tcPr>
            <w:tcW w:type="dxa" w:w="298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 available</w:t>
            </w:r>
          </w:p>
        </w:tc>
        <w:tc>
          <w:tcPr>
            <w:tcW w:type="dxa" w:w="298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Available, within limits</w:t>
            </w:r>
          </w:p>
        </w:tc>
      </w:tr>
    </w:tbl>
    <w:p>
      <w:pPr>
        <w:spacing w:after="160"/>
      </w:pPr>
    </w:p>
    <w:p>
      <w:pPr>
        <w:keepNext/>
        <w:spacing w:after="120" w:before="280"/>
        <w:outlineLvl w:val="0"/>
      </w:pPr>
      <w:r>
        <w:rPr>
          <w:rFonts w:ascii="Calibri" w:cs="Calibri" w:eastAsia="Calibri" w:hAnsi="Calibri"/>
          <w:b/>
          <w:bCs/>
          <w:color w:val="14161B"/>
          <w:sz w:val="22"/>
          <w:szCs w:val="22"/>
        </w:rPr>
        <w:t xml:space="preserve">4. COMPARISON WORKSHEET</w:t>
      </w:r>
    </w:p>
    <w:p>
      <w:pPr>
        <w:spacing w:after="120" w:before="0" w:line="276"/>
        <w:jc w:val="both"/>
      </w:pPr>
      <w:r>
        <w:rPr>
          <w:rFonts w:ascii="Calibri" w:cs="Calibri" w:eastAsia="Calibri" w:hAnsi="Calibri"/>
          <w:i/>
          <w:iCs/>
          <w:sz w:val="21"/>
          <w:szCs w:val="21"/>
        </w:rPr>
        <w:t xml:space="preserve">Complete this before electing. The regime that produces the lower tax depends entirely on how much you actually claim, not on which regime sounds better.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915"/>
        <w:gridCol w:w="2120"/>
        <w:gridCol w:w="2122"/>
      </w:tblGrid>
      <w:tr>
        <w:trPr>
          <w:tblHeader/>
        </w:trPr>
        <w:tc>
          <w:tcPr>
            <w:tcW w:type="dxa" w:w="48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w:t>
            </w:r>
          </w:p>
        </w:tc>
        <w:tc>
          <w:tcPr>
            <w:tcW w:type="dxa" w:w="491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Particular</w:t>
            </w:r>
          </w:p>
        </w:tc>
        <w:tc>
          <w:tcPr>
            <w:tcW w:type="dxa" w:w="2120"/>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New regime (₹)</w:t>
            </w:r>
          </w:p>
        </w:tc>
        <w:tc>
          <w:tcPr>
            <w:tcW w:type="dxa" w:w="212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Old regime (₹)</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Gross salary</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12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2</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Less: standard deduction</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c>
          <w:tcPr>
            <w:tcW w:type="dxa" w:w="2122"/>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3</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Less: house rent allowance exemption</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Nil</w:t>
            </w:r>
          </w:p>
        </w:tc>
        <w:tc>
          <w:tcPr>
            <w:tcW w:type="dxa" w:w="2122"/>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4</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Less: leave travel concession</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Nil</w:t>
            </w:r>
          </w:p>
        </w:tc>
        <w:tc>
          <w:tcPr>
            <w:tcW w:type="dxa" w:w="2122"/>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5</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Less: professional tax</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Nil</w:t>
            </w:r>
          </w:p>
        </w:tc>
        <w:tc>
          <w:tcPr>
            <w:tcW w:type="dxa" w:w="2122"/>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6</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Income from salary</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12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7</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Add or less: income or loss from house property</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12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8</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Add: other income declared</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12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9</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Gross total income</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12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10</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Less: deductions for specified investments and payments</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Nil</w:t>
            </w:r>
          </w:p>
        </w:tc>
        <w:tc>
          <w:tcPr>
            <w:tcW w:type="dxa" w:w="2122"/>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11</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Less: medical insurance premium</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Nil</w:t>
            </w:r>
          </w:p>
        </w:tc>
        <w:tc>
          <w:tcPr>
            <w:tcW w:type="dxa" w:w="2122"/>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12</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Less: employer contribution to the national pension system</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c>
          <w:tcPr>
            <w:tcW w:type="dxa" w:w="2122"/>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13</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Less: other deductions claimed</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122"/>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14</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 income</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12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15</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Tax on total income at the applicable slab rates</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12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16</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Less: rebate, where the total income is within the threshold</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c>
          <w:tcPr>
            <w:tcW w:type="dxa" w:w="2122"/>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17</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Add: surcharge, where applicable</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12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18</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Add: cess</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12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19</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 tax liability</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12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20</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Regime producing the lower liability</w:t>
            </w:r>
          </w:p>
        </w:tc>
        <w:tc>
          <w:tcPr>
            <w:tcW w:type="dxa" w:w="2120"/>
            <w:tcMar>
              <w:top w:type="dxa" w:w="70"/>
              <w:left w:type="dxa" w:w="100"/>
              <w:bottom w:type="dxa" w:w="70"/>
              <w:right w:type="dxa" w:w="100"/>
            </w:tcMar>
            <w:vAlign w:val="center"/>
          </w:tcPr>
          <w:p>
            <w:pPr>
              <w:spacing w:after="0" w:line="240"/>
              <w:jc w:val="right"/>
            </w:pPr>
          </w:p>
        </w:tc>
        <w:tc>
          <w:tcPr>
            <w:tcW w:type="dxa" w:w="212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[NEW / OLD]</w:t>
            </w:r>
          </w:p>
        </w:tc>
      </w:tr>
    </w:tbl>
    <w:p>
      <w:pPr>
        <w:spacing w:after="160"/>
      </w:pPr>
    </w:p>
    <w:p>
      <w:pPr>
        <w:keepNext/>
        <w:spacing w:after="120" w:before="280"/>
        <w:outlineLvl w:val="0"/>
      </w:pPr>
      <w:r>
        <w:rPr>
          <w:rFonts w:ascii="Calibri" w:cs="Calibri" w:eastAsia="Calibri" w:hAnsi="Calibri"/>
          <w:b/>
          <w:bCs/>
          <w:color w:val="14161B"/>
          <w:sz w:val="22"/>
          <w:szCs w:val="22"/>
        </w:rPr>
        <w:t xml:space="preserve">5. DECLARATION</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I have considered both regimes and elect the regime marked in Part 2 for the purpose of computing tax to be deducted from my salary for the financial year stated.</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I understand that where I elect the old regime, the exemptions and deductions I claim will be allowed for withholding purposes </w:t>
      </w:r>
      <w:r>
        <w:rPr>
          <w:rFonts w:ascii="Calibri" w:cs="Calibri" w:eastAsia="Calibri" w:hAnsi="Calibri"/>
          <w:b/>
          <w:bCs/>
          <w:sz w:val="21"/>
          <w:szCs w:val="21"/>
        </w:rPr>
        <w:t xml:space="preserve">only</w:t>
      </w:r>
      <w:r>
        <w:rPr>
          <w:rFonts w:ascii="Calibri" w:cs="Calibri" w:eastAsia="Calibri" w:hAnsi="Calibri"/>
          <w:sz w:val="21"/>
          <w:szCs w:val="21"/>
        </w:rPr>
        <w:t xml:space="preserve"> to the extent I furnish supporting evidence by the date notified, and that the deduction will otherwise be recomputed.</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I understand that if I do not make an election, the Company will compute tax under the </w:t>
      </w:r>
      <w:r>
        <w:rPr>
          <w:rFonts w:ascii="Calibri" w:cs="Calibri" w:eastAsia="Calibri" w:hAnsi="Calibri"/>
          <w:b/>
          <w:bCs/>
          <w:sz w:val="21"/>
          <w:szCs w:val="21"/>
        </w:rPr>
        <w:t xml:space="preserve">default regime</w:t>
      </w:r>
      <w:r>
        <w:rPr>
          <w:rFonts w:ascii="Calibri" w:cs="Calibri" w:eastAsia="Calibri" w:hAnsi="Calibri"/>
          <w:sz w:val="21"/>
          <w:szCs w:val="21"/>
        </w:rPr>
        <w:t xml:space="preserve"> prescribed by law.</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I understand that this election is for withholding purposes only, that my final tax position is determined in my return of income, and that the ability to change regime at the time of filing depends on my category of income and on the law as it then stands.</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sz w:val="21"/>
          <w:szCs w:val="21"/>
        </w:rPr>
        <w:t xml:space="preserve">I understand that this election generally cannot be changed during the financial year for withholding purposes, and I have made it after considering my expected income and claims for the whole year.</w:t>
      </w:r>
    </w:p>
    <w:p>
      <w:pPr>
        <w:spacing w:after="120" w:before="60" w:line="276"/>
        <w:ind w:left="720" w:hanging="720"/>
        <w:jc w:val="both"/>
      </w:pPr>
      <w:r>
        <w:rPr>
          <w:rFonts w:ascii="Calibri" w:cs="Calibri" w:eastAsia="Calibri" w:hAnsi="Calibri"/>
          <w:sz w:val="21"/>
          <w:szCs w:val="21"/>
        </w:rPr>
        <w:t xml:space="preserve">5.6	</w:t>
      </w:r>
      <w:r>
        <w:rPr>
          <w:rFonts w:ascii="Calibri" w:cs="Calibri" w:eastAsia="Calibri" w:hAnsi="Calibri"/>
          <w:sz w:val="21"/>
          <w:szCs w:val="21"/>
        </w:rPr>
        <w:t xml:space="preserve">The particulars given are true and correct to the best of my knowledge and belief.</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PAN: </w:t>
            </w:r>
            <w:r>
              <w:rPr>
                <w:rFonts w:ascii="Calibri" w:cs="Calibri" w:eastAsia="Calibri" w:hAnsi="Calibri"/>
                <w:b/>
                <w:bCs/>
                <w:sz w:val="21"/>
                <w:szCs w:val="21"/>
              </w:rPr>
              <w:t xml:space="preserve">[PAN]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  Place: </w:t>
            </w:r>
            <w:r>
              <w:rPr>
                <w:rFonts w:ascii="Calibri" w:cs="Calibri" w:eastAsia="Calibri" w:hAnsi="Calibri"/>
                <w:b/>
                <w:bCs/>
                <w:sz w:val="21"/>
                <w:szCs w:val="21"/>
              </w:rPr>
              <w:t xml:space="preserve">[PLACE]</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tc>
      </w:tr>
    </w:tbl>
    <w:p>
      <w:pPr>
        <w:spacing w:after="0" w:before="0" w:line="1"/>
      </w:pPr>
      <w:r>
        <w:br w:type="page"/>
      </w:r>
    </w:p>
    <w:p>
      <w:pPr>
        <w:spacing w:after="240" w:before="240"/>
        <w:jc w:val="center"/>
      </w:pPr>
      <w:r>
        <w:rPr>
          <w:rFonts w:ascii="Calibri" w:cs="Calibri" w:eastAsia="Calibri" w:hAnsi="Calibri"/>
          <w:b/>
          <w:bCs/>
          <w:color w:val="14161B"/>
          <w:spacing w:val="12"/>
          <w:sz w:val="28"/>
          <w:szCs w:val="28"/>
        </w:rPr>
        <w:t xml:space="preserve">FOR EMPLOYER USE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240"/>
        <w:gridCol w:w="2313"/>
        <w:gridCol w:w="1252"/>
        <w:gridCol w:w="1352"/>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By</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Declaration requested from all employees at the start of the year</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Declaration received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no declaration received, default regime applied and the employee informed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 / Not applicable]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Regime configured in payroll</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[New / Old]</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Payroll rates, slabs, rebate threshold and standard deduction verified against the current year</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the old regime is elected, the declaration of deductions collected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Evidence cut-off communicated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Deduction recomputed after evidence verification</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Tax deposited monthly within the prescribed period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[ONGOING]</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Quarterly statements filed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[DATES]</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 certificate of tax deducted issued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Declaration retained for the prescribed period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default applies where nothing is elected</w:t>
      </w:r>
    </w:p>
    <w:p>
      <w:pPr>
        <w:spacing w:after="60" w:line="264"/>
        <w:jc w:val="both"/>
      </w:pPr>
      <w:r>
        <w:rPr>
          <w:rFonts w:ascii="Calibri" w:cs="Calibri" w:eastAsia="Calibri" w:hAnsi="Calibri"/>
          <w:sz w:val="19"/>
          <w:szCs w:val="19"/>
        </w:rPr>
        <w:t xml:space="preserve">An employee who does not respond is not left unallocated. The default regime prescribed by law applies, and the employer must compute on that basis. What the employer should not do is apply the default silently: tell the employee which regime is being applied and what it means, because the first they otherwise learn of it is a payslip that does not match their expectation.</w:t>
      </w:r>
    </w:p>
    <w:p>
      <w:pPr>
        <w:keepNext/>
        <w:spacing w:after="40" w:before="140"/>
      </w:pPr>
      <w:r>
        <w:rPr>
          <w:rFonts w:ascii="Calibri" w:cs="Calibri" w:eastAsia="Calibri" w:hAnsi="Calibri"/>
          <w:b/>
          <w:bCs/>
          <w:color w:val="14161B"/>
          <w:sz w:val="20"/>
          <w:szCs w:val="20"/>
        </w:rPr>
        <w:t xml:space="preserve">Collect it in the first month</w:t>
      </w:r>
    </w:p>
    <w:p>
      <w:pPr>
        <w:spacing w:after="60" w:line="264"/>
        <w:jc w:val="both"/>
      </w:pPr>
      <w:r>
        <w:rPr>
          <w:rFonts w:ascii="Calibri" w:cs="Calibri" w:eastAsia="Calibri" w:hAnsi="Calibri"/>
          <w:sz w:val="19"/>
          <w:szCs w:val="19"/>
        </w:rPr>
        <w:t xml:space="preserve">The election drives the whole year’s withholding. Collected in month one, the deduction is smooth. Collected in month six, the correction is compressed into the remaining months and the employee sees a sharp drop in take-home pay. Make it part of the first payroll cycle of the year and part of the joining pack for mid-year hires.</w:t>
      </w:r>
    </w:p>
    <w:p>
      <w:pPr>
        <w:keepNext/>
        <w:spacing w:after="40" w:before="140"/>
      </w:pPr>
      <w:r>
        <w:rPr>
          <w:rFonts w:ascii="Calibri" w:cs="Calibri" w:eastAsia="Calibri" w:hAnsi="Calibri"/>
          <w:b/>
          <w:bCs/>
          <w:color w:val="14161B"/>
          <w:sz w:val="20"/>
          <w:szCs w:val="20"/>
        </w:rPr>
        <w:t xml:space="preserve">Neither regime is better in the abstract</w:t>
      </w:r>
    </w:p>
    <w:p>
      <w:pPr>
        <w:spacing w:after="60" w:line="264"/>
        <w:jc w:val="both"/>
      </w:pPr>
      <w:r>
        <w:rPr>
          <w:rFonts w:ascii="Calibri" w:cs="Calibri" w:eastAsia="Calibri" w:hAnsi="Calibri"/>
          <w:sz w:val="19"/>
          <w:szCs w:val="19"/>
        </w:rPr>
        <w:t xml:space="preserve">Which regime produces the lower liability depends entirely on how much the employee actually claims. An employee with a large housing loan interest claim, house rent allowance and full investment deductions may do better under the old regime; an employee with few claims almost always does better under the new one. The worksheet in Part 4 exists because employees ask the employer which to choose, and the honest answer is that it depends on their own numbers.</w:t>
      </w:r>
    </w:p>
    <w:p>
      <w:pPr>
        <w:keepNext/>
        <w:spacing w:after="40" w:before="140"/>
      </w:pPr>
      <w:r>
        <w:rPr>
          <w:rFonts w:ascii="Calibri" w:cs="Calibri" w:eastAsia="Calibri" w:hAnsi="Calibri"/>
          <w:b/>
          <w:bCs/>
          <w:color w:val="14161B"/>
          <w:sz w:val="20"/>
          <w:szCs w:val="20"/>
        </w:rPr>
        <w:t xml:space="preserve">Do not give tax advice</w:t>
      </w:r>
    </w:p>
    <w:p>
      <w:pPr>
        <w:spacing w:after="60" w:line="264"/>
        <w:jc w:val="both"/>
      </w:pPr>
      <w:r>
        <w:rPr>
          <w:rFonts w:ascii="Calibri" w:cs="Calibri" w:eastAsia="Calibri" w:hAnsi="Calibri"/>
          <w:sz w:val="19"/>
          <w:szCs w:val="19"/>
        </w:rPr>
        <w:t xml:space="preserve">An employer should provide the comparison framework and the facts, and should not recommend a regime. Where an employee wants advice, point them to their own adviser. An employer that recommends a regime and gets it wrong has created a grievance it did not need to own.</w:t>
      </w:r>
    </w:p>
    <w:p>
      <w:pPr>
        <w:keepNext/>
        <w:spacing w:after="40" w:before="140"/>
      </w:pPr>
      <w:r>
        <w:rPr>
          <w:rFonts w:ascii="Calibri" w:cs="Calibri" w:eastAsia="Calibri" w:hAnsi="Calibri"/>
          <w:b/>
          <w:bCs/>
          <w:color w:val="14161B"/>
          <w:sz w:val="20"/>
          <w:szCs w:val="20"/>
        </w:rPr>
        <w:t xml:space="preserve">The rebate threshold has been revised upward</w:t>
      </w:r>
    </w:p>
    <w:p>
      <w:pPr>
        <w:spacing w:after="60" w:line="264"/>
        <w:jc w:val="both"/>
      </w:pPr>
      <w:r>
        <w:rPr>
          <w:rFonts w:ascii="Calibri" w:cs="Calibri" w:eastAsia="Calibri" w:hAnsi="Calibri"/>
          <w:sz w:val="19"/>
          <w:szCs w:val="19"/>
        </w:rPr>
        <w:t xml:space="preserve">The income threshold up to which a rebate is available under the new regime has been increased. Payroll systems configured against an earlier threshold will over-deduct for employees near that level, and the error is not obvious from a payslip. Step 5 of the employer record requires the rates, slabs, rebate threshold and standard deduction to be verified against the current year before the first run — not carried forward from last year’s configuration.</w:t>
      </w:r>
    </w:p>
    <w:p>
      <w:pPr>
        <w:keepNext/>
        <w:spacing w:after="40" w:before="140"/>
      </w:pPr>
      <w:r>
        <w:rPr>
          <w:rFonts w:ascii="Calibri" w:cs="Calibri" w:eastAsia="Calibri" w:hAnsi="Calibri"/>
          <w:b/>
          <w:bCs/>
          <w:color w:val="14161B"/>
          <w:sz w:val="20"/>
          <w:szCs w:val="20"/>
        </w:rPr>
        <w:t xml:space="preserve">Election for withholding is not the same as the position at filing</w:t>
      </w:r>
    </w:p>
    <w:p>
      <w:pPr>
        <w:spacing w:after="60" w:line="264"/>
        <w:jc w:val="both"/>
      </w:pPr>
      <w:r>
        <w:rPr>
          <w:rFonts w:ascii="Calibri" w:cs="Calibri" w:eastAsia="Calibri" w:hAnsi="Calibri"/>
          <w:sz w:val="19"/>
          <w:szCs w:val="19"/>
        </w:rPr>
        <w:t xml:space="preserve">This declaration governs how the employer deducts. The employee’s final position is settled in the return of income, and the ability to switch regime at filing depends on the employee’s category of income and on the law as it stands. Clause 5.4 says so, so that an employee who elects one regime here does not believe the choice is irrevocable for all purposes.</w:t>
      </w:r>
    </w:p>
    <w:p>
      <w:pPr>
        <w:keepNext/>
        <w:spacing w:after="40" w:before="140"/>
      </w:pPr>
      <w:r>
        <w:rPr>
          <w:rFonts w:ascii="Calibri" w:cs="Calibri" w:eastAsia="Calibri" w:hAnsi="Calibri"/>
          <w:b/>
          <w:bCs/>
          <w:color w:val="14161B"/>
          <w:sz w:val="20"/>
          <w:szCs w:val="20"/>
        </w:rPr>
        <w:t xml:space="preserve">Old regime means evidence, not assertion</w:t>
      </w:r>
    </w:p>
    <w:p>
      <w:pPr>
        <w:spacing w:after="60" w:line="264"/>
        <w:jc w:val="both"/>
      </w:pPr>
      <w:r>
        <w:rPr>
          <w:rFonts w:ascii="Calibri" w:cs="Calibri" w:eastAsia="Calibri" w:hAnsi="Calibri"/>
          <w:sz w:val="19"/>
          <w:szCs w:val="19"/>
        </w:rPr>
        <w:t xml:space="preserve">Electing the old regime commits the employee to producing evidence for every claim by the cut-off. Where evidence does not arrive, the claims are disallowed for withholding and the deduction is recomputed over the remaining months. Employees who elect the old regime and then submit nothing face a large deduction in the final quarter. Say this at the time of election.</w:t>
      </w:r>
    </w:p>
    <w:p>
      <w:pPr>
        <w:keepNext/>
        <w:spacing w:after="40" w:before="140"/>
      </w:pPr>
      <w:r>
        <w:rPr>
          <w:rFonts w:ascii="Calibri" w:cs="Calibri" w:eastAsia="Calibri" w:hAnsi="Calibri"/>
          <w:b/>
          <w:bCs/>
          <w:color w:val="14161B"/>
          <w:sz w:val="20"/>
          <w:szCs w:val="20"/>
        </w:rPr>
        <w:t xml:space="preserve">Mid-year joiners need care</w:t>
      </w:r>
    </w:p>
    <w:p>
      <w:pPr>
        <w:spacing w:after="60" w:line="264"/>
        <w:jc w:val="both"/>
      </w:pPr>
      <w:r>
        <w:rPr>
          <w:rFonts w:ascii="Calibri" w:cs="Calibri" w:eastAsia="Calibri" w:hAnsi="Calibri"/>
          <w:sz w:val="19"/>
          <w:szCs w:val="19"/>
        </w:rPr>
        <w:t xml:space="preserve">An employee joining mid-year should elect a regime, declare previous employer salary and tax, and be told how the annual computation will work. Without the previous employer figures, both employers deduct as though theirs is the only income and the employee faces a shortfall with interest at filing.</w:t>
      </w:r>
    </w:p>
    <w:p>
      <w:pPr>
        <w:keepNext/>
        <w:spacing w:after="40" w:before="140"/>
      </w:pPr>
      <w:r>
        <w:rPr>
          <w:rFonts w:ascii="Calibri" w:cs="Calibri" w:eastAsia="Calibri" w:hAnsi="Calibri"/>
          <w:b/>
          <w:bCs/>
          <w:color w:val="14161B"/>
          <w:sz w:val="20"/>
          <w:szCs w:val="20"/>
        </w:rPr>
        <w:t xml:space="preserve">Withholding provisions have been consolidated</w:t>
      </w:r>
    </w:p>
    <w:p>
      <w:pPr>
        <w:spacing w:after="60" w:line="264"/>
        <w:jc w:val="both"/>
      </w:pPr>
      <w:r>
        <w:rPr>
          <w:rFonts w:ascii="Calibri" w:cs="Calibri" w:eastAsia="Calibri" w:hAnsi="Calibri"/>
          <w:sz w:val="19"/>
          <w:szCs w:val="19"/>
        </w:rPr>
        <w:t xml:space="preserve">The provisions governing deduction of tax at source have been consolidated into the current income-tax legislation, replacing the earlier section-wise scheme. Use the current section on challans, returns and certificates. Payroll systems and templates frequently still carry the older numbering.</w:t>
      </w:r>
    </w:p>
    <w:p>
      <w:pPr>
        <w:keepNext/>
        <w:spacing w:after="40" w:before="140"/>
      </w:pPr>
      <w:r>
        <w:rPr>
          <w:rFonts w:ascii="Calibri" w:cs="Calibri" w:eastAsia="Calibri" w:hAnsi="Calibri"/>
          <w:b/>
          <w:bCs/>
          <w:color w:val="14161B"/>
          <w:sz w:val="20"/>
          <w:szCs w:val="20"/>
        </w:rPr>
        <w:t xml:space="preserve">Employer liability for short deduction</w:t>
      </w:r>
    </w:p>
    <w:p>
      <w:pPr>
        <w:spacing w:after="60" w:line="264"/>
        <w:jc w:val="both"/>
      </w:pPr>
      <w:r>
        <w:rPr>
          <w:rFonts w:ascii="Calibri" w:cs="Calibri" w:eastAsia="Calibri" w:hAnsi="Calibri"/>
          <w:sz w:val="19"/>
          <w:szCs w:val="19"/>
        </w:rPr>
        <w:t xml:space="preserve">Where tax is under-deducted, the employer is liable for the shortfall with interest, and the corresponding expenditure may be disallowed. The employee’s declaration does not transfer that risk. Verification, not collection, is the control.</w:t>
      </w:r>
    </w:p>
    <w:p>
      <w:pPr>
        <w:keepNext/>
        <w:spacing w:after="40" w:before="140"/>
      </w:pPr>
      <w:r>
        <w:rPr>
          <w:rFonts w:ascii="Calibri" w:cs="Calibri" w:eastAsia="Calibri" w:hAnsi="Calibri"/>
          <w:b/>
          <w:bCs/>
          <w:color w:val="14161B"/>
          <w:sz w:val="20"/>
          <w:szCs w:val="20"/>
        </w:rPr>
        <w:t xml:space="preserve">Retain the declarations</w:t>
      </w:r>
    </w:p>
    <w:p>
      <w:pPr>
        <w:spacing w:after="60" w:line="264"/>
        <w:jc w:val="both"/>
      </w:pPr>
      <w:r>
        <w:rPr>
          <w:rFonts w:ascii="Calibri" w:cs="Calibri" w:eastAsia="Calibri" w:hAnsi="Calibri"/>
          <w:sz w:val="19"/>
          <w:szCs w:val="19"/>
        </w:rPr>
        <w:t xml:space="preserve">Keep every declaration and every piece of supporting evidence for the prescribed retention period, together with the computation applied. Where a deduction is later questioned, the file is the answer.</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tax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Slab rates, the rebate threshold, the standard deduction, which deductions survive under each regime, the default regime and the rules on switching all change every year — have the payroll configuration and this form reviewed by a tax adviser before the first payroll run of each financial year.</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2026-08-21T12:53:55.478Z</dcterms:created>
  <dcterms:modified xsi:type="dcterms:W3CDTF">2026-08-21T12:53:55.478Z</dcterms:modified>
</cp:coreProperties>
</file>

<file path=docProps/custom.xml><?xml version="1.0" encoding="utf-8"?>
<Properties xmlns="http://schemas.openxmlformats.org/officeDocument/2006/custom-properties" xmlns:vt="http://schemas.openxmlformats.org/officeDocument/2006/docPropsVTypes"/>
</file>