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TAX INVOICE</w:t>
      </w:r>
    </w:p>
    <w:p>
      <w:pPr>
        <w:spacing w:after="260"/>
        <w:jc w:val="center"/>
      </w:pPr>
      <w:r>
        <w:rPr>
          <w:rFonts w:ascii="Calibri" w:cs="Calibri" w:eastAsia="Calibri" w:hAnsi="Calibri"/>
          <w:i/>
          <w:iCs/>
          <w:color w:val="6E7480"/>
          <w:sz w:val="19"/>
          <w:szCs w:val="19"/>
        </w:rPr>
        <w:t xml:space="preserve">Under the goods and services tax legislation</w:t>
      </w:r>
    </w:p>
    <w:p>
      <w:pPr>
        <w:spacing w:after="110" w:before="0" w:line="276"/>
        <w:jc w:val="both"/>
      </w:pPr>
      <w:r>
        <w:rPr>
          <w:rFonts w:ascii="Calibri" w:cs="Calibri" w:eastAsia="Calibri" w:hAnsi="Calibri"/>
          <w:i/>
          <w:iCs/>
          <w:color w:val="6E7480"/>
          <w:sz w:val="21"/>
          <w:szCs w:val="21"/>
        </w:rPr>
        <w:t xml:space="preserve">Complete every field. A missing particular can cost your customer the input tax credit.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1927"/>
        <w:gridCol w:w="2891"/>
        <w:gridCol w:w="1927"/>
        <w:gridCol w:w="2893"/>
      </w:tblGrid>
      <w:tr>
        <w:trPr>
          <w:cantSplit/>
          <w:tblHeader/>
        </w:trPr>
        <w:tc>
          <w:tcPr>
            <w:tcW w:type="dxa" w:w="1927"/>
            <w:shd w:fill="EEF1FE" w:color="auto" w:val="clear"/>
            <w:tcMar>
              <w:top w:type="dxa" w:w="70"/>
              <w:left w:type="dxa" w:w="100"/>
              <w:bottom w:type="dxa" w:w="70"/>
              <w:right w:type="dxa" w:w="100"/>
            </w:tcMar>
            <w:vAlign w:val="center"/>
          </w:tcPr>
          <w:p>
            <w:pPr>
              <w:spacing w:after="0" w:line="240"/>
              <w:jc w:val="left"/>
            </w:pPr>
          </w:p>
        </w:tc>
        <w:tc>
          <w:tcPr>
            <w:tcW w:type="dxa" w:w="2891"/>
            <w:shd w:fill="EEF1FE" w:color="auto" w:val="clear"/>
            <w:tcMar>
              <w:top w:type="dxa" w:w="70"/>
              <w:left w:type="dxa" w:w="100"/>
              <w:bottom w:type="dxa" w:w="70"/>
              <w:right w:type="dxa" w:w="100"/>
            </w:tcMar>
            <w:vAlign w:val="center"/>
          </w:tcPr>
          <w:p>
            <w:pPr>
              <w:spacing w:after="0" w:line="240"/>
              <w:jc w:val="left"/>
            </w:pPr>
          </w:p>
        </w:tc>
        <w:tc>
          <w:tcPr>
            <w:tcW w:type="dxa" w:w="1927"/>
            <w:shd w:fill="EEF1FE" w:color="auto" w:val="clear"/>
            <w:tcMar>
              <w:top w:type="dxa" w:w="70"/>
              <w:left w:type="dxa" w:w="100"/>
              <w:bottom w:type="dxa" w:w="70"/>
              <w:right w:type="dxa" w:w="100"/>
            </w:tcMar>
            <w:vAlign w:val="center"/>
          </w:tcPr>
          <w:p>
            <w:pPr>
              <w:spacing w:after="0" w:line="240"/>
              <w:jc w:val="left"/>
            </w:pPr>
          </w:p>
        </w:tc>
        <w:tc>
          <w:tcPr>
            <w:tcW w:type="dxa" w:w="2893"/>
            <w:shd w:fill="EEF1FE" w:color="auto" w:val="clear"/>
            <w:tcMar>
              <w:top w:type="dxa" w:w="70"/>
              <w:left w:type="dxa" w:w="100"/>
              <w:bottom w:type="dxa" w:w="70"/>
              <w:right w:type="dxa" w:w="100"/>
            </w:tcMar>
            <w:vAlign w:val="center"/>
          </w:tcPr>
          <w:p>
            <w:pPr>
              <w:spacing w:after="0" w:line="240"/>
              <w:jc w:val="left"/>
            </w:pPr>
          </w:p>
        </w:tc>
      </w:tr>
      <w:tr>
        <w:trPr>
          <w:cantSplit/>
        </w:trPr>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Invoice No.</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[SERIAL]</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Invoice date</w:t>
            </w:r>
          </w:p>
        </w:tc>
        <w:tc>
          <w:tcPr>
            <w:tcW w:type="dxa" w:w="289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rPr>
          <w:cantSplit/>
        </w:trPr>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Buyer’s order no.</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[REF]</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Order date</w:t>
            </w:r>
          </w:p>
        </w:tc>
        <w:tc>
          <w:tcPr>
            <w:tcW w:type="dxa" w:w="289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rPr>
          <w:cantSplit/>
        </w:trPr>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Due date</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Terms of payment</w:t>
            </w:r>
          </w:p>
        </w:tc>
        <w:tc>
          <w:tcPr>
            <w:tcW w:type="dxa" w:w="289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[DAYS]</w:t>
            </w:r>
            <w:r>
              <w:rPr>
                <w:rFonts w:ascii="Calibri" w:cs="Calibri" w:eastAsia="Calibri" w:hAnsi="Calibri"/>
                <w:sz w:val="18"/>
                <w:szCs w:val="18"/>
              </w:rPr>
              <w:t xml:space="preserve"> days</w:t>
            </w:r>
          </w:p>
        </w:tc>
      </w:tr>
      <w:tr>
        <w:trPr>
          <w:cantSplit/>
        </w:trPr>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Dispatched through</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[CARRIER]</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Vehicle / LR no.</w:t>
            </w:r>
          </w:p>
        </w:tc>
        <w:tc>
          <w:tcPr>
            <w:tcW w:type="dxa" w:w="289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[NUMBER]</w:t>
            </w:r>
          </w:p>
        </w:tc>
      </w:tr>
      <w:tr>
        <w:trPr>
          <w:cantSplit/>
        </w:trPr>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Place of supply</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[STATE]</w:t>
            </w:r>
            <w:r>
              <w:rPr>
                <w:rFonts w:ascii="Calibri" w:cs="Calibri" w:eastAsia="Calibri" w:hAnsi="Calibri"/>
                <w:b/>
                <w:bCs/>
                <w:sz w:val="18"/>
                <w:szCs w:val="18"/>
              </w:rPr>
              <w:t xml:space="preserve"> — </w:t>
            </w:r>
            <w:r>
              <w:rPr>
                <w:rFonts w:ascii="Calibri" w:cs="Calibri" w:eastAsia="Calibri" w:hAnsi="Calibri"/>
                <w:b/>
                <w:bCs/>
                <w:sz w:val="18"/>
                <w:szCs w:val="18"/>
              </w:rPr>
              <w:t xml:space="preserve">[CODE]</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Reverse charge</w:t>
            </w:r>
          </w:p>
        </w:tc>
        <w:tc>
          <w:tcPr>
            <w:tcW w:type="dxa" w:w="289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[Yes / No]</w:t>
            </w:r>
          </w:p>
        </w:tc>
      </w:tr>
    </w:tbl>
    <w:p>
      <w:pPr>
        <w:spacing w:after="80"/>
      </w:pP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9"/>
        <w:gridCol w:w="4819"/>
      </w:tblGrid>
      <w:tr>
        <w:trPr>
          <w:cantSplit/>
          <w:tblHeader/>
        </w:trPr>
        <w:tc>
          <w:tcPr>
            <w:tcW w:type="dxa" w:w="481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Invoice from — supplier</w:t>
            </w:r>
          </w:p>
        </w:tc>
        <w:tc>
          <w:tcPr>
            <w:tcW w:type="dxa" w:w="481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Invoice to — recipient</w:t>
            </w:r>
          </w:p>
        </w:tc>
      </w:tr>
      <w:tr>
        <w:trPr>
          <w:cantSplit/>
        </w:trPr>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[LEGAL NAME]</w:t>
            </w:r>
          </w:p>
          <w:p>
            <w:pPr>
              <w:spacing w:after="0" w:line="240"/>
              <w:jc w:val="left"/>
            </w:pPr>
            <w:r>
              <w:rPr>
                <w:rFonts w:ascii="Calibri" w:cs="Calibri" w:eastAsia="Calibri" w:hAnsi="Calibri"/>
                <w:b/>
                <w:bCs/>
                <w:sz w:val="18"/>
                <w:szCs w:val="18"/>
              </w:rPr>
              <w:t xml:space="preserve">[Trade name, if different]</w:t>
            </w:r>
          </w:p>
          <w:p>
            <w:pPr>
              <w:spacing w:after="0" w:line="240"/>
              <w:jc w:val="left"/>
            </w:pPr>
            <w:r>
              <w:rPr>
                <w:rFonts w:ascii="Calibri" w:cs="Calibri" w:eastAsia="Calibri" w:hAnsi="Calibri"/>
                <w:b/>
                <w:bCs/>
                <w:sz w:val="18"/>
                <w:szCs w:val="18"/>
              </w:rPr>
              <w:t xml:space="preserve">[ADDRESS]</w:t>
            </w:r>
          </w:p>
          <w:p>
            <w:pPr>
              <w:spacing w:after="0" w:line="240"/>
              <w:jc w:val="left"/>
            </w:pPr>
            <w:r>
              <w:rPr>
                <w:rFonts w:ascii="Calibri" w:cs="Calibri" w:eastAsia="Calibri" w:hAnsi="Calibri"/>
                <w:b/>
                <w:bCs/>
                <w:sz w:val="18"/>
                <w:szCs w:val="18"/>
              </w:rPr>
              <w:t xml:space="preserve">[CITY]</w:t>
            </w:r>
            <w:r>
              <w:rPr>
                <w:rFonts w:ascii="Calibri" w:cs="Calibri" w:eastAsia="Calibri" w:hAnsi="Calibri"/>
                <w:sz w:val="18"/>
                <w:szCs w:val="18"/>
              </w:rPr>
              <w:t xml:space="preserve"> </w:t>
            </w:r>
            <w:r>
              <w:rPr>
                <w:rFonts w:ascii="Calibri" w:cs="Calibri" w:eastAsia="Calibri" w:hAnsi="Calibri"/>
                <w:b/>
                <w:bCs/>
                <w:sz w:val="18"/>
                <w:szCs w:val="18"/>
              </w:rPr>
              <w:t xml:space="preserve">[PIN]</w:t>
            </w:r>
          </w:p>
          <w:p>
            <w:pPr>
              <w:spacing w:after="0" w:line="240"/>
              <w:jc w:val="left"/>
            </w:pPr>
            <w:r>
              <w:rPr>
                <w:rFonts w:ascii="Calibri" w:cs="Calibri" w:eastAsia="Calibri" w:hAnsi="Calibri"/>
                <w:b/>
                <w:bCs/>
                <w:sz w:val="18"/>
                <w:szCs w:val="18"/>
              </w:rPr>
              <w:t xml:space="preserve">GSTIN: </w:t>
            </w:r>
            <w:r>
              <w:rPr>
                <w:rFonts w:ascii="Calibri" w:cs="Calibri" w:eastAsia="Calibri" w:hAnsi="Calibri"/>
                <w:b/>
                <w:bCs/>
                <w:sz w:val="18"/>
                <w:szCs w:val="18"/>
              </w:rPr>
              <w:t xml:space="preserve">[GSTIN]</w:t>
            </w:r>
          </w:p>
          <w:p>
            <w:pPr>
              <w:spacing w:after="0" w:line="240"/>
              <w:jc w:val="left"/>
            </w:pPr>
            <w:r>
              <w:rPr>
                <w:rFonts w:ascii="Calibri" w:cs="Calibri" w:eastAsia="Calibri" w:hAnsi="Calibri"/>
                <w:sz w:val="18"/>
                <w:szCs w:val="18"/>
              </w:rPr>
              <w:t xml:space="preserve">State: </w:t>
            </w:r>
            <w:r>
              <w:rPr>
                <w:rFonts w:ascii="Calibri" w:cs="Calibri" w:eastAsia="Calibri" w:hAnsi="Calibri"/>
                <w:b/>
                <w:bCs/>
                <w:sz w:val="18"/>
                <w:szCs w:val="18"/>
              </w:rPr>
              <w:t xml:space="preserve">[STATE]</w:t>
            </w:r>
            <w:r>
              <w:rPr>
                <w:rFonts w:ascii="Calibri" w:cs="Calibri" w:eastAsia="Calibri" w:hAnsi="Calibri"/>
                <w:sz w:val="18"/>
                <w:szCs w:val="18"/>
              </w:rPr>
              <w:t xml:space="preserve"> — </w:t>
            </w:r>
            <w:r>
              <w:rPr>
                <w:rFonts w:ascii="Calibri" w:cs="Calibri" w:eastAsia="Calibri" w:hAnsi="Calibri"/>
                <w:b/>
                <w:bCs/>
                <w:sz w:val="18"/>
                <w:szCs w:val="18"/>
              </w:rPr>
              <w:t xml:space="preserve">[CODE]</w:t>
            </w:r>
          </w:p>
          <w:p>
            <w:pPr>
              <w:spacing w:after="0" w:line="240"/>
              <w:jc w:val="left"/>
            </w:pPr>
            <w:r>
              <w:rPr>
                <w:rFonts w:ascii="Calibri" w:cs="Calibri" w:eastAsia="Calibri" w:hAnsi="Calibri"/>
                <w:sz w:val="18"/>
                <w:szCs w:val="18"/>
              </w:rPr>
              <w:t xml:space="preserve">PAN: </w:t>
            </w:r>
            <w:r>
              <w:rPr>
                <w:rFonts w:ascii="Calibri" w:cs="Calibri" w:eastAsia="Calibri" w:hAnsi="Calibri"/>
                <w:b/>
                <w:bCs/>
                <w:sz w:val="18"/>
                <w:szCs w:val="18"/>
              </w:rPr>
              <w:t xml:space="preserve">[PAN]</w:t>
            </w:r>
          </w:p>
          <w:p>
            <w:pPr>
              <w:spacing w:after="0" w:line="240"/>
              <w:jc w:val="left"/>
            </w:pPr>
            <w:r>
              <w:rPr>
                <w:rFonts w:ascii="Calibri" w:cs="Calibri" w:eastAsia="Calibri" w:hAnsi="Calibri"/>
                <w:b/>
                <w:bCs/>
                <w:sz w:val="18"/>
                <w:szCs w:val="18"/>
              </w:rPr>
              <w:t xml:space="preserve">[PHONE]</w:t>
            </w:r>
            <w:r>
              <w:rPr>
                <w:rFonts w:ascii="Calibri" w:cs="Calibri" w:eastAsia="Calibri" w:hAnsi="Calibri"/>
                <w:sz w:val="18"/>
                <w:szCs w:val="18"/>
              </w:rPr>
              <w:t xml:space="preserve"> | </w:t>
            </w:r>
            <w:r>
              <w:rPr>
                <w:rFonts w:ascii="Calibri" w:cs="Calibri" w:eastAsia="Calibri" w:hAnsi="Calibri"/>
                <w:b/>
                <w:bCs/>
                <w:sz w:val="18"/>
                <w:szCs w:val="18"/>
              </w:rPr>
              <w:t xml:space="preserve">[EMAIL]</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[LEGAL NAME]</w:t>
            </w:r>
          </w:p>
          <w:p>
            <w:pPr>
              <w:spacing w:after="0" w:line="240"/>
              <w:jc w:val="left"/>
            </w:pPr>
            <w:r>
              <w:rPr>
                <w:rFonts w:ascii="Calibri" w:cs="Calibri" w:eastAsia="Calibri" w:hAnsi="Calibri"/>
                <w:b/>
                <w:bCs/>
                <w:sz w:val="18"/>
                <w:szCs w:val="18"/>
              </w:rPr>
              <w:t xml:space="preserve">[ADDRESS]</w:t>
            </w:r>
          </w:p>
          <w:p>
            <w:pPr>
              <w:spacing w:after="0" w:line="240"/>
              <w:jc w:val="left"/>
            </w:pPr>
            <w:r>
              <w:rPr>
                <w:rFonts w:ascii="Calibri" w:cs="Calibri" w:eastAsia="Calibri" w:hAnsi="Calibri"/>
                <w:b/>
                <w:bCs/>
                <w:sz w:val="18"/>
                <w:szCs w:val="18"/>
              </w:rPr>
              <w:t xml:space="preserve">[CITY]</w:t>
            </w:r>
            <w:r>
              <w:rPr>
                <w:rFonts w:ascii="Calibri" w:cs="Calibri" w:eastAsia="Calibri" w:hAnsi="Calibri"/>
                <w:sz w:val="18"/>
                <w:szCs w:val="18"/>
              </w:rPr>
              <w:t xml:space="preserve"> </w:t>
            </w:r>
            <w:r>
              <w:rPr>
                <w:rFonts w:ascii="Calibri" w:cs="Calibri" w:eastAsia="Calibri" w:hAnsi="Calibri"/>
                <w:b/>
                <w:bCs/>
                <w:sz w:val="18"/>
                <w:szCs w:val="18"/>
              </w:rPr>
              <w:t xml:space="preserve">[PIN]</w:t>
            </w:r>
          </w:p>
          <w:p>
            <w:pPr>
              <w:spacing w:after="0" w:line="240"/>
              <w:jc w:val="left"/>
            </w:pPr>
            <w:r>
              <w:rPr>
                <w:rFonts w:ascii="Calibri" w:cs="Calibri" w:eastAsia="Calibri" w:hAnsi="Calibri"/>
                <w:b/>
                <w:bCs/>
                <w:sz w:val="18"/>
                <w:szCs w:val="18"/>
              </w:rPr>
              <w:t xml:space="preserve">GSTIN: </w:t>
            </w:r>
            <w:r>
              <w:rPr>
                <w:rFonts w:ascii="Calibri" w:cs="Calibri" w:eastAsia="Calibri" w:hAnsi="Calibri"/>
                <w:b/>
                <w:bCs/>
                <w:sz w:val="18"/>
                <w:szCs w:val="18"/>
              </w:rPr>
              <w:t xml:space="preserve">[GSTIN or "Unregistered"]</w:t>
            </w:r>
          </w:p>
          <w:p>
            <w:pPr>
              <w:spacing w:after="0" w:line="240"/>
              <w:jc w:val="left"/>
            </w:pPr>
            <w:r>
              <w:rPr>
                <w:rFonts w:ascii="Calibri" w:cs="Calibri" w:eastAsia="Calibri" w:hAnsi="Calibri"/>
                <w:sz w:val="18"/>
                <w:szCs w:val="18"/>
              </w:rPr>
              <w:t xml:space="preserve">State: </w:t>
            </w:r>
            <w:r>
              <w:rPr>
                <w:rFonts w:ascii="Calibri" w:cs="Calibri" w:eastAsia="Calibri" w:hAnsi="Calibri"/>
                <w:b/>
                <w:bCs/>
                <w:sz w:val="18"/>
                <w:szCs w:val="18"/>
              </w:rPr>
              <w:t xml:space="preserve">[STATE]</w:t>
            </w:r>
            <w:r>
              <w:rPr>
                <w:rFonts w:ascii="Calibri" w:cs="Calibri" w:eastAsia="Calibri" w:hAnsi="Calibri"/>
                <w:sz w:val="18"/>
                <w:szCs w:val="18"/>
              </w:rPr>
              <w:t xml:space="preserve"> — </w:t>
            </w:r>
            <w:r>
              <w:rPr>
                <w:rFonts w:ascii="Calibri" w:cs="Calibri" w:eastAsia="Calibri" w:hAnsi="Calibri"/>
                <w:b/>
                <w:bCs/>
                <w:sz w:val="18"/>
                <w:szCs w:val="18"/>
              </w:rPr>
              <w:t xml:space="preserve">[CODE]</w:t>
            </w:r>
          </w:p>
          <w:p>
            <w:pPr>
              <w:spacing w:after="0" w:line="240"/>
              <w:jc w:val="left"/>
            </w:pPr>
          </w:p>
          <w:p>
            <w:pPr>
              <w:spacing w:after="0" w:line="240"/>
              <w:jc w:val="left"/>
            </w:pPr>
            <w:r>
              <w:rPr>
                <w:rFonts w:ascii="Calibri" w:cs="Calibri" w:eastAsia="Calibri" w:hAnsi="Calibri"/>
                <w:b/>
                <w:bCs/>
                <w:sz w:val="18"/>
                <w:szCs w:val="18"/>
              </w:rPr>
              <w:t xml:space="preserve">Ship to</w:t>
            </w:r>
            <w:r>
              <w:rPr>
                <w:rFonts w:ascii="Calibri" w:cs="Calibri" w:eastAsia="Calibri" w:hAnsi="Calibri"/>
                <w:sz w:val="18"/>
                <w:szCs w:val="18"/>
              </w:rPr>
              <w:t xml:space="preserve"> (if different)</w:t>
            </w:r>
          </w:p>
          <w:p>
            <w:pPr>
              <w:spacing w:after="0" w:line="240"/>
              <w:jc w:val="left"/>
            </w:pPr>
            <w:r>
              <w:rPr>
                <w:rFonts w:ascii="Calibri" w:cs="Calibri" w:eastAsia="Calibri" w:hAnsi="Calibri"/>
                <w:b/>
                <w:bCs/>
                <w:sz w:val="18"/>
                <w:szCs w:val="18"/>
              </w:rPr>
              <w:t xml:space="preserve">[ADDRESS]</w:t>
            </w:r>
          </w:p>
        </w:tc>
      </w:tr>
    </w:tbl>
    <w:p>
      <w:pPr>
        <w:spacing w:after="80"/>
      </w:pP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3566"/>
        <w:gridCol w:w="1156"/>
        <w:gridCol w:w="771"/>
        <w:gridCol w:w="771"/>
        <w:gridCol w:w="1156"/>
        <w:gridCol w:w="1737"/>
      </w:tblGrid>
      <w:tr>
        <w:trPr>
          <w:cantSplit/>
          <w:tblHeader/>
        </w:trPr>
        <w:tc>
          <w:tcPr>
            <w:tcW w:type="dxa" w:w="481"/>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w:t>
            </w:r>
          </w:p>
        </w:tc>
        <w:tc>
          <w:tcPr>
            <w:tcW w:type="dxa" w:w="356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Description of goods or services</w:t>
            </w:r>
          </w:p>
        </w:tc>
        <w:tc>
          <w:tcPr>
            <w:tcW w:type="dxa" w:w="1156"/>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HSN/SAC</w:t>
            </w:r>
          </w:p>
        </w:tc>
        <w:tc>
          <w:tcPr>
            <w:tcW w:type="dxa" w:w="771"/>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Qty</w:t>
            </w:r>
          </w:p>
        </w:tc>
        <w:tc>
          <w:tcPr>
            <w:tcW w:type="dxa" w:w="771"/>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Unit</w:t>
            </w:r>
          </w:p>
        </w:tc>
        <w:tc>
          <w:tcPr>
            <w:tcW w:type="dxa" w:w="1156"/>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Rate</w:t>
            </w:r>
          </w:p>
        </w:tc>
        <w:tc>
          <w:tcPr>
            <w:tcW w:type="dxa" w:w="1737"/>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Taxable value</w:t>
            </w:r>
          </w:p>
        </w:tc>
      </w:tr>
      <w:tr>
        <w:trPr>
          <w:cantSplit/>
        </w:trPr>
        <w:tc>
          <w:tcPr>
            <w:tcW w:type="dxa" w:w="48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1</w:t>
            </w:r>
          </w:p>
        </w:tc>
        <w:tc>
          <w:tcPr>
            <w:tcW w:type="dxa" w:w="356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[DESCRIPTION]</w:t>
            </w:r>
          </w:p>
        </w:tc>
        <w:tc>
          <w:tcPr>
            <w:tcW w:type="dxa" w:w="1156"/>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[CODE]</w:t>
            </w:r>
          </w:p>
        </w:tc>
        <w:tc>
          <w:tcPr>
            <w:tcW w:type="dxa" w:w="771"/>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[QTY]</w:t>
            </w:r>
          </w:p>
        </w:tc>
        <w:tc>
          <w:tcPr>
            <w:tcW w:type="dxa" w:w="771"/>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[UOM]</w:t>
            </w:r>
          </w:p>
        </w:tc>
        <w:tc>
          <w:tcPr>
            <w:tcW w:type="dxa" w:w="1156"/>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[RATE]</w:t>
            </w:r>
          </w:p>
        </w:tc>
        <w:tc>
          <w:tcPr>
            <w:tcW w:type="dxa" w:w="1737"/>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r>
      <w:tr>
        <w:trPr>
          <w:cantSplit/>
        </w:trPr>
        <w:tc>
          <w:tcPr>
            <w:tcW w:type="dxa" w:w="48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2</w:t>
            </w:r>
          </w:p>
        </w:tc>
        <w:tc>
          <w:tcPr>
            <w:tcW w:type="dxa" w:w="356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[DESCRIPTION]</w:t>
            </w:r>
          </w:p>
        </w:tc>
        <w:tc>
          <w:tcPr>
            <w:tcW w:type="dxa" w:w="1156"/>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[CODE]</w:t>
            </w:r>
          </w:p>
        </w:tc>
        <w:tc>
          <w:tcPr>
            <w:tcW w:type="dxa" w:w="771"/>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[QTY]</w:t>
            </w:r>
          </w:p>
        </w:tc>
        <w:tc>
          <w:tcPr>
            <w:tcW w:type="dxa" w:w="771"/>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[UOM]</w:t>
            </w:r>
          </w:p>
        </w:tc>
        <w:tc>
          <w:tcPr>
            <w:tcW w:type="dxa" w:w="1156"/>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[RATE]</w:t>
            </w:r>
          </w:p>
        </w:tc>
        <w:tc>
          <w:tcPr>
            <w:tcW w:type="dxa" w:w="1737"/>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r>
      <w:tr>
        <w:trPr>
          <w:cantSplit/>
        </w:trPr>
        <w:tc>
          <w:tcPr>
            <w:tcW w:type="dxa" w:w="48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3</w:t>
            </w:r>
          </w:p>
        </w:tc>
        <w:tc>
          <w:tcPr>
            <w:tcW w:type="dxa" w:w="356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[DESCRIPTION]</w:t>
            </w:r>
          </w:p>
        </w:tc>
        <w:tc>
          <w:tcPr>
            <w:tcW w:type="dxa" w:w="1156"/>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[CODE]</w:t>
            </w:r>
          </w:p>
        </w:tc>
        <w:tc>
          <w:tcPr>
            <w:tcW w:type="dxa" w:w="771"/>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[QTY]</w:t>
            </w:r>
          </w:p>
        </w:tc>
        <w:tc>
          <w:tcPr>
            <w:tcW w:type="dxa" w:w="771"/>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[UOM]</w:t>
            </w:r>
          </w:p>
        </w:tc>
        <w:tc>
          <w:tcPr>
            <w:tcW w:type="dxa" w:w="1156"/>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[RATE]</w:t>
            </w:r>
          </w:p>
        </w:tc>
        <w:tc>
          <w:tcPr>
            <w:tcW w:type="dxa" w:w="1737"/>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r>
      <w:tr>
        <w:trPr>
          <w:cantSplit/>
        </w:trPr>
        <w:tc>
          <w:tcPr>
            <w:tcW w:type="dxa" w:w="481"/>
            <w:tcMar>
              <w:top w:type="dxa" w:w="70"/>
              <w:left w:type="dxa" w:w="100"/>
              <w:bottom w:type="dxa" w:w="70"/>
              <w:right w:type="dxa" w:w="100"/>
            </w:tcMar>
            <w:vAlign w:val="center"/>
          </w:tcPr>
          <w:p>
            <w:pPr>
              <w:spacing w:after="0" w:line="240"/>
              <w:jc w:val="center"/>
            </w:pPr>
          </w:p>
        </w:tc>
        <w:tc>
          <w:tcPr>
            <w:tcW w:type="dxa" w:w="356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Total taxable value</w:t>
            </w:r>
          </w:p>
        </w:tc>
        <w:tc>
          <w:tcPr>
            <w:tcW w:type="dxa" w:w="1156"/>
            <w:tcMar>
              <w:top w:type="dxa" w:w="70"/>
              <w:left w:type="dxa" w:w="100"/>
              <w:bottom w:type="dxa" w:w="70"/>
              <w:right w:type="dxa" w:w="100"/>
            </w:tcMar>
            <w:vAlign w:val="center"/>
          </w:tcPr>
          <w:p>
            <w:pPr>
              <w:spacing w:after="0" w:line="240"/>
              <w:jc w:val="center"/>
            </w:pPr>
          </w:p>
        </w:tc>
        <w:tc>
          <w:tcPr>
            <w:tcW w:type="dxa" w:w="771"/>
            <w:tcMar>
              <w:top w:type="dxa" w:w="70"/>
              <w:left w:type="dxa" w:w="100"/>
              <w:bottom w:type="dxa" w:w="70"/>
              <w:right w:type="dxa" w:w="100"/>
            </w:tcMar>
            <w:vAlign w:val="center"/>
          </w:tcPr>
          <w:p>
            <w:pPr>
              <w:spacing w:after="0" w:line="240"/>
              <w:jc w:val="right"/>
            </w:pPr>
          </w:p>
        </w:tc>
        <w:tc>
          <w:tcPr>
            <w:tcW w:type="dxa" w:w="771"/>
            <w:tcMar>
              <w:top w:type="dxa" w:w="70"/>
              <w:left w:type="dxa" w:w="100"/>
              <w:bottom w:type="dxa" w:w="70"/>
              <w:right w:type="dxa" w:w="100"/>
            </w:tcMar>
            <w:vAlign w:val="center"/>
          </w:tcPr>
          <w:p>
            <w:pPr>
              <w:spacing w:after="0" w:line="240"/>
              <w:jc w:val="center"/>
            </w:pPr>
          </w:p>
        </w:tc>
        <w:tc>
          <w:tcPr>
            <w:tcW w:type="dxa" w:w="1156"/>
            <w:tcMar>
              <w:top w:type="dxa" w:w="70"/>
              <w:left w:type="dxa" w:w="100"/>
              <w:bottom w:type="dxa" w:w="70"/>
              <w:right w:type="dxa" w:w="100"/>
            </w:tcMar>
            <w:vAlign w:val="center"/>
          </w:tcPr>
          <w:p>
            <w:pPr>
              <w:spacing w:after="0" w:line="240"/>
              <w:jc w:val="right"/>
            </w:pPr>
          </w:p>
        </w:tc>
        <w:tc>
          <w:tcPr>
            <w:tcW w:type="dxa" w:w="1737"/>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r>
    </w:tbl>
    <w:p>
      <w:pPr>
        <w:spacing w:after="80"/>
      </w:pP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5300"/>
        <w:gridCol w:w="1445"/>
        <w:gridCol w:w="2893"/>
      </w:tblGrid>
      <w:tr>
        <w:trPr>
          <w:cantSplit/>
          <w:tblHeader/>
        </w:trPr>
        <w:tc>
          <w:tcPr>
            <w:tcW w:type="dxa" w:w="530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Tax</w:t>
            </w:r>
          </w:p>
        </w:tc>
        <w:tc>
          <w:tcPr>
            <w:tcW w:type="dxa" w:w="1445"/>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Rate</w:t>
            </w:r>
          </w:p>
        </w:tc>
        <w:tc>
          <w:tcPr>
            <w:tcW w:type="dxa" w:w="2893"/>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r>
      <w:tr>
        <w:trPr>
          <w:cantSplit/>
        </w:trPr>
        <w:tc>
          <w:tcPr>
            <w:tcW w:type="dxa" w:w="530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[CGST — intra-State only]</w:t>
            </w:r>
          </w:p>
        </w:tc>
        <w:tc>
          <w:tcPr>
            <w:tcW w:type="dxa" w:w="1445"/>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w:t>
            </w:r>
          </w:p>
        </w:tc>
        <w:tc>
          <w:tcPr>
            <w:tcW w:type="dxa" w:w="2893"/>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r>
      <w:tr>
        <w:trPr>
          <w:cantSplit/>
        </w:trPr>
        <w:tc>
          <w:tcPr>
            <w:tcW w:type="dxa" w:w="530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[SGST / UTGST — intra-State only]</w:t>
            </w:r>
          </w:p>
        </w:tc>
        <w:tc>
          <w:tcPr>
            <w:tcW w:type="dxa" w:w="1445"/>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w:t>
            </w:r>
          </w:p>
        </w:tc>
        <w:tc>
          <w:tcPr>
            <w:tcW w:type="dxa" w:w="2893"/>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r>
      <w:tr>
        <w:trPr>
          <w:cantSplit/>
        </w:trPr>
        <w:tc>
          <w:tcPr>
            <w:tcW w:type="dxa" w:w="530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[IGST — inter-State only]</w:t>
            </w:r>
          </w:p>
        </w:tc>
        <w:tc>
          <w:tcPr>
            <w:tcW w:type="dxa" w:w="1445"/>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w:t>
            </w:r>
          </w:p>
        </w:tc>
        <w:tc>
          <w:tcPr>
            <w:tcW w:type="dxa" w:w="2893"/>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r>
      <w:tr>
        <w:trPr>
          <w:cantSplit/>
        </w:trPr>
        <w:tc>
          <w:tcPr>
            <w:tcW w:type="dxa" w:w="530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Invoice total</w:t>
            </w:r>
          </w:p>
        </w:tc>
        <w:tc>
          <w:tcPr>
            <w:tcW w:type="dxa" w:w="1445"/>
            <w:tcMar>
              <w:top w:type="dxa" w:w="70"/>
              <w:left w:type="dxa" w:w="100"/>
              <w:bottom w:type="dxa" w:w="70"/>
              <w:right w:type="dxa" w:w="100"/>
            </w:tcMar>
            <w:vAlign w:val="center"/>
          </w:tcPr>
          <w:p>
            <w:pPr>
              <w:spacing w:after="0" w:line="240"/>
              <w:jc w:val="center"/>
            </w:pPr>
          </w:p>
        </w:tc>
        <w:tc>
          <w:tcPr>
            <w:tcW w:type="dxa" w:w="2893"/>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 </w:t>
            </w:r>
            <w:r>
              <w:rPr>
                <w:rFonts w:ascii="Calibri" w:cs="Calibri" w:eastAsia="Calibri" w:hAnsi="Calibri"/>
                <w:b/>
                <w:bCs/>
                <w:sz w:val="18"/>
                <w:szCs w:val="18"/>
              </w:rPr>
              <w:t xml:space="preserve">[AMOUNT]</w:t>
            </w:r>
          </w:p>
        </w:tc>
      </w:tr>
    </w:tbl>
    <w:p>
      <w:pPr>
        <w:spacing w:after="80"/>
      </w:pP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891"/>
        <w:gridCol w:w="4240"/>
        <w:gridCol w:w="2507"/>
      </w:tblGrid>
      <w:tr>
        <w:trPr>
          <w:cantSplit/>
          <w:tblHeader/>
        </w:trPr>
        <w:tc>
          <w:tcPr>
            <w:tcW w:type="dxa" w:w="289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Bank details</w:t>
            </w:r>
          </w:p>
        </w:tc>
        <w:tc>
          <w:tcPr>
            <w:tcW w:type="dxa" w:w="424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Declaration</w:t>
            </w:r>
          </w:p>
        </w:tc>
        <w:tc>
          <w:tcPr>
            <w:tcW w:type="dxa" w:w="250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For </w:t>
            </w:r>
            <w:r>
              <w:rPr>
                <w:rFonts w:ascii="Calibri" w:cs="Calibri" w:eastAsia="Calibri" w:hAnsi="Calibri"/>
                <w:b/>
                <w:bCs/>
                <w:sz w:val="16"/>
                <w:szCs w:val="16"/>
              </w:rPr>
              <w:t xml:space="preserve">[COMPANY NAME]</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A/c name: </w:t>
            </w:r>
            <w:r>
              <w:rPr>
                <w:rFonts w:ascii="Calibri" w:cs="Calibri" w:eastAsia="Calibri" w:hAnsi="Calibri"/>
                <w:b/>
                <w:bCs/>
                <w:sz w:val="16"/>
                <w:szCs w:val="16"/>
              </w:rPr>
              <w:t xml:space="preserve">[NAME]</w:t>
            </w:r>
          </w:p>
          <w:p>
            <w:pPr>
              <w:spacing w:after="0" w:line="240"/>
              <w:jc w:val="left"/>
            </w:pPr>
            <w:r>
              <w:rPr>
                <w:rFonts w:ascii="Calibri" w:cs="Calibri" w:eastAsia="Calibri" w:hAnsi="Calibri"/>
                <w:sz w:val="16"/>
                <w:szCs w:val="16"/>
              </w:rPr>
              <w:t xml:space="preserve">Bank: </w:t>
            </w:r>
            <w:r>
              <w:rPr>
                <w:rFonts w:ascii="Calibri" w:cs="Calibri" w:eastAsia="Calibri" w:hAnsi="Calibri"/>
                <w:b/>
                <w:bCs/>
                <w:sz w:val="16"/>
                <w:szCs w:val="16"/>
              </w:rPr>
              <w:t xml:space="preserve">[BANK]</w:t>
            </w:r>
            <w:r>
              <w:rPr>
                <w:rFonts w:ascii="Calibri" w:cs="Calibri" w:eastAsia="Calibri" w:hAnsi="Calibri"/>
                <w:sz w:val="16"/>
                <w:szCs w:val="16"/>
              </w:rPr>
              <w:t xml:space="preserve">, </w:t>
            </w:r>
            <w:r>
              <w:rPr>
                <w:rFonts w:ascii="Calibri" w:cs="Calibri" w:eastAsia="Calibri" w:hAnsi="Calibri"/>
                <w:b/>
                <w:bCs/>
                <w:sz w:val="16"/>
                <w:szCs w:val="16"/>
              </w:rPr>
              <w:t xml:space="preserve">[BRANCH]</w:t>
            </w:r>
          </w:p>
          <w:p>
            <w:pPr>
              <w:spacing w:after="0" w:line="240"/>
              <w:jc w:val="left"/>
            </w:pPr>
            <w:r>
              <w:rPr>
                <w:rFonts w:ascii="Calibri" w:cs="Calibri" w:eastAsia="Calibri" w:hAnsi="Calibri"/>
                <w:sz w:val="16"/>
                <w:szCs w:val="16"/>
              </w:rPr>
              <w:t xml:space="preserve">A/c no.: </w:t>
            </w:r>
            <w:r>
              <w:rPr>
                <w:rFonts w:ascii="Calibri" w:cs="Calibri" w:eastAsia="Calibri" w:hAnsi="Calibri"/>
                <w:b/>
                <w:bCs/>
                <w:sz w:val="16"/>
                <w:szCs w:val="16"/>
              </w:rPr>
              <w:t xml:space="preserve">[NUMBER]</w:t>
            </w:r>
          </w:p>
          <w:p>
            <w:pPr>
              <w:spacing w:after="0" w:line="240"/>
              <w:jc w:val="left"/>
            </w:pPr>
            <w:r>
              <w:rPr>
                <w:rFonts w:ascii="Calibri" w:cs="Calibri" w:eastAsia="Calibri" w:hAnsi="Calibri"/>
                <w:sz w:val="16"/>
                <w:szCs w:val="16"/>
              </w:rPr>
              <w:t xml:space="preserve">IFSC: </w:t>
            </w:r>
            <w:r>
              <w:rPr>
                <w:rFonts w:ascii="Calibri" w:cs="Calibri" w:eastAsia="Calibri" w:hAnsi="Calibri"/>
                <w:b/>
                <w:bCs/>
                <w:sz w:val="16"/>
                <w:szCs w:val="16"/>
              </w:rPr>
              <w:t xml:space="preserve">[IFSC]</w:t>
            </w:r>
            <w:r>
              <w:rPr>
                <w:rFonts w:ascii="Calibri" w:cs="Calibri" w:eastAsia="Calibri" w:hAnsi="Calibri"/>
                <w:sz w:val="16"/>
                <w:szCs w:val="16"/>
              </w:rPr>
              <w:t xml:space="preserve">  |  UPI: </w:t>
            </w:r>
            <w:r>
              <w:rPr>
                <w:rFonts w:ascii="Calibri" w:cs="Calibri" w:eastAsia="Calibri" w:hAnsi="Calibri"/>
                <w:b/>
                <w:bCs/>
                <w:sz w:val="16"/>
                <w:szCs w:val="16"/>
              </w:rPr>
              <w:t xml:space="preserve">[ID]</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We declare that this invoice shows the actual price of the goods or services described and that all particulars are true and correct.</w:t>
            </w:r>
          </w:p>
          <w:p>
            <w:pPr>
              <w:spacing w:after="0" w:line="240"/>
              <w:jc w:val="left"/>
            </w:pPr>
          </w:p>
          <w:p>
            <w:pPr>
              <w:spacing w:after="0" w:line="240"/>
              <w:jc w:val="left"/>
            </w:pPr>
            <w:r>
              <w:rPr>
                <w:rFonts w:ascii="Calibri" w:cs="Calibri" w:eastAsia="Calibri" w:hAnsi="Calibri"/>
                <w:b/>
                <w:bCs/>
                <w:sz w:val="16"/>
                <w:szCs w:val="16"/>
              </w:rPr>
              <w:t xml:space="preserve">Amount in words:</w:t>
            </w:r>
            <w:r>
              <w:rPr>
                <w:rFonts w:ascii="Calibri" w:cs="Calibri" w:eastAsia="Calibri" w:hAnsi="Calibri"/>
                <w:sz w:val="16"/>
                <w:szCs w:val="16"/>
              </w:rPr>
              <w:t xml:space="preserve"> </w:t>
            </w:r>
            <w:r>
              <w:rPr>
                <w:rFonts w:ascii="Calibri" w:cs="Calibri" w:eastAsia="Calibri" w:hAnsi="Calibri"/>
                <w:b/>
                <w:bCs/>
                <w:sz w:val="16"/>
                <w:szCs w:val="16"/>
              </w:rPr>
              <w:t xml:space="preserve">[RUPEES … ONLY]</w:t>
            </w:r>
          </w:p>
        </w:tc>
        <w:tc>
          <w:tcPr>
            <w:tcW w:type="dxa" w:w="2507"/>
            <w:tcMar>
              <w:top w:type="dxa" w:w="70"/>
              <w:left w:type="dxa" w:w="100"/>
              <w:bottom w:type="dxa" w:w="70"/>
              <w:right w:type="dxa" w:w="100"/>
            </w:tcMar>
            <w:vAlign w:val="center"/>
          </w:tcPr>
          <w:p>
            <w:pPr>
              <w:spacing w:after="0" w:line="240"/>
              <w:jc w:val="left"/>
            </w:pPr>
          </w:p>
          <w:p>
            <w:pPr>
              <w:spacing w:after="0" w:line="240"/>
              <w:jc w:val="left"/>
            </w:pPr>
          </w:p>
          <w:p>
            <w:pPr>
              <w:spacing w:after="0" w:line="240"/>
              <w:jc w:val="left"/>
            </w:pPr>
            <w:r>
              <w:rPr>
                <w:rFonts w:ascii="Calibri" w:cs="Calibri" w:eastAsia="Calibri" w:hAnsi="Calibri"/>
                <w:sz w:val="16"/>
                <w:szCs w:val="16"/>
              </w:rPr>
              <w:t xml:space="preserve">_______________________</w:t>
            </w:r>
          </w:p>
          <w:p>
            <w:pPr>
              <w:spacing w:after="0" w:line="240"/>
              <w:jc w:val="left"/>
            </w:pPr>
            <w:r>
              <w:rPr>
                <w:rFonts w:ascii="Calibri" w:cs="Calibri" w:eastAsia="Calibri" w:hAnsi="Calibri"/>
                <w:sz w:val="16"/>
                <w:szCs w:val="16"/>
              </w:rPr>
              <w:t xml:space="preserve">Authorised signatory</w:t>
            </w:r>
          </w:p>
          <w:p>
            <w:pPr>
              <w:spacing w:after="0" w:line="240"/>
              <w:jc w:val="left"/>
            </w:pPr>
            <w:r>
              <w:rPr>
                <w:rFonts w:ascii="Calibri" w:cs="Calibri" w:eastAsia="Calibri" w:hAnsi="Calibri"/>
                <w:sz w:val="16"/>
                <w:szCs w:val="16"/>
              </w:rPr>
              <w:t xml:space="preserve">Date: </w:t>
            </w:r>
            <w:r>
              <w:rPr>
                <w:rFonts w:ascii="Calibri" w:cs="Calibri" w:eastAsia="Calibri" w:hAnsi="Calibri"/>
                <w:b/>
                <w:bCs/>
                <w:sz w:val="16"/>
                <w:szCs w:val="16"/>
              </w:rPr>
              <w:t xml:space="preserve">[DATE]</w:t>
            </w:r>
          </w:p>
        </w:tc>
      </w:tr>
    </w:tbl>
    <w:p>
      <w:pPr>
        <w:spacing w:after="0" w:before="0" w:line="1"/>
      </w:pPr>
      <w:r>
        <w:br w:type="page"/>
      </w:r>
    </w:p>
    <w:p>
      <w:pPr>
        <w:spacing w:after="60" w:before="240"/>
        <w:jc w:val="center"/>
      </w:pPr>
      <w:r>
        <w:rPr>
          <w:rFonts w:ascii="Calibri" w:cs="Calibri" w:eastAsia="Calibri" w:hAnsi="Calibri"/>
          <w:b/>
          <w:bCs/>
          <w:color w:val="14161B"/>
          <w:spacing w:val="12"/>
          <w:sz w:val="28"/>
          <w:szCs w:val="28"/>
        </w:rPr>
        <w:t xml:space="preserve">GETTING IT RIGHT</w:t>
      </w:r>
    </w:p>
    <w:p>
      <w:pPr>
        <w:spacing w:after="260"/>
        <w:jc w:val="center"/>
      </w:pPr>
      <w:r>
        <w:rPr>
          <w:rFonts w:ascii="Calibri" w:cs="Calibri" w:eastAsia="Calibri" w:hAnsi="Calibri"/>
          <w:i/>
          <w:iCs/>
          <w:color w:val="6E7480"/>
          <w:sz w:val="19"/>
          <w:szCs w:val="19"/>
        </w:rPr>
        <w:t xml:space="preserve">What the law requires, and where invoices fail</w:t>
      </w:r>
    </w:p>
    <w:p>
      <w:pPr>
        <w:keepNext/>
        <w:spacing w:after="120" w:before="280"/>
        <w:outlineLvl w:val="0"/>
      </w:pPr>
      <w:r>
        <w:rPr>
          <w:rFonts w:ascii="Calibri" w:cs="Calibri" w:eastAsia="Calibri" w:hAnsi="Calibri"/>
          <w:b/>
          <w:bCs/>
          <w:color w:val="14161B"/>
          <w:sz w:val="22"/>
          <w:szCs w:val="22"/>
        </w:rPr>
        <w:t xml:space="preserve">1. MANDATORY PARTICULARS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4240"/>
        <w:gridCol w:w="5013"/>
      </w:tblGrid>
      <w:tr>
        <w:trPr>
          <w:cantSplit/>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c>
          <w:tcPr>
            <w:tcW w:type="dxa" w:w="424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Particular</w:t>
            </w:r>
          </w:p>
        </w:tc>
        <w:tc>
          <w:tcPr>
            <w:tcW w:type="dxa" w:w="501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Note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Supplier name, address and </w:t>
            </w:r>
            <w:r>
              <w:rPr>
                <w:rFonts w:ascii="Calibri" w:cs="Calibri" w:eastAsia="Calibri" w:hAnsi="Calibri"/>
                <w:b/>
                <w:bCs/>
                <w:sz w:val="17"/>
                <w:szCs w:val="17"/>
              </w:rPr>
              <w:t xml:space="preserve">GSTIN</w:t>
            </w:r>
          </w:p>
        </w:tc>
        <w:tc>
          <w:tcPr>
            <w:tcW w:type="dxa" w:w="5013"/>
            <w:tcMar>
              <w:top w:type="dxa" w:w="70"/>
              <w:left w:type="dxa" w:w="100"/>
              <w:bottom w:type="dxa" w:w="70"/>
              <w:right w:type="dxa" w:w="100"/>
            </w:tcMar>
            <w:vAlign w:val="center"/>
          </w:tcPr>
          <w:p>
            <w:pPr>
              <w:spacing w:after="0" w:line="240"/>
              <w:jc w:val="left"/>
            </w:pP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2</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Consecutive serial number</w:t>
            </w:r>
          </w:p>
        </w:tc>
        <w:tc>
          <w:tcPr>
            <w:tcW w:type="dxa" w:w="50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Unique for the financial year; no gaps</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3</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Date of issue</w:t>
            </w:r>
          </w:p>
        </w:tc>
        <w:tc>
          <w:tcPr>
            <w:tcW w:type="dxa" w:w="5013"/>
            <w:tcMar>
              <w:top w:type="dxa" w:w="70"/>
              <w:left w:type="dxa" w:w="100"/>
              <w:bottom w:type="dxa" w:w="70"/>
              <w:right w:type="dxa" w:w="100"/>
            </w:tcMar>
            <w:vAlign w:val="center"/>
          </w:tcPr>
          <w:p>
            <w:pPr>
              <w:spacing w:after="0" w:line="240"/>
              <w:jc w:val="left"/>
            </w:pP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4</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Recipient name, address and GSTIN</w:t>
            </w:r>
          </w:p>
        </w:tc>
        <w:tc>
          <w:tcPr>
            <w:tcW w:type="dxa" w:w="50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Where registered</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5</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Name, address and </w:t>
            </w:r>
            <w:r>
              <w:rPr>
                <w:rFonts w:ascii="Calibri" w:cs="Calibri" w:eastAsia="Calibri" w:hAnsi="Calibri"/>
                <w:b/>
                <w:bCs/>
                <w:sz w:val="17"/>
                <w:szCs w:val="17"/>
              </w:rPr>
              <w:t xml:space="preserve">State code</w:t>
            </w:r>
            <w:r>
              <w:rPr>
                <w:rFonts w:ascii="Calibri" w:cs="Calibri" w:eastAsia="Calibri" w:hAnsi="Calibri"/>
                <w:sz w:val="17"/>
                <w:szCs w:val="17"/>
              </w:rPr>
              <w:t xml:space="preserve"> of the recipient</w:t>
            </w:r>
          </w:p>
        </w:tc>
        <w:tc>
          <w:tcPr>
            <w:tcW w:type="dxa" w:w="50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Where unregistered and the value exceeds the prescribed threshold</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6</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HSN or SAC code</w:t>
            </w:r>
          </w:p>
        </w:tc>
        <w:tc>
          <w:tcPr>
            <w:tcW w:type="dxa" w:w="50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Digits required depend on turnover</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7</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Description, quantity and unit</w:t>
            </w:r>
          </w:p>
        </w:tc>
        <w:tc>
          <w:tcPr>
            <w:tcW w:type="dxa" w:w="5013"/>
            <w:tcMar>
              <w:top w:type="dxa" w:w="70"/>
              <w:left w:type="dxa" w:w="100"/>
              <w:bottom w:type="dxa" w:w="70"/>
              <w:right w:type="dxa" w:w="100"/>
            </w:tcMar>
            <w:vAlign w:val="center"/>
          </w:tcPr>
          <w:p>
            <w:pPr>
              <w:spacing w:after="0" w:line="240"/>
              <w:jc w:val="left"/>
            </w:pP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8</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Total value and </w:t>
            </w:r>
            <w:r>
              <w:rPr>
                <w:rFonts w:ascii="Calibri" w:cs="Calibri" w:eastAsia="Calibri" w:hAnsi="Calibri"/>
                <w:b/>
                <w:bCs/>
                <w:sz w:val="17"/>
                <w:szCs w:val="17"/>
              </w:rPr>
              <w:t xml:space="preserve">taxable value</w:t>
            </w:r>
            <w:r>
              <w:rPr>
                <w:rFonts w:ascii="Calibri" w:cs="Calibri" w:eastAsia="Calibri" w:hAnsi="Calibri"/>
                <w:sz w:val="17"/>
                <w:szCs w:val="17"/>
              </w:rPr>
              <w:t xml:space="preserve"> after discount</w:t>
            </w:r>
          </w:p>
        </w:tc>
        <w:tc>
          <w:tcPr>
            <w:tcW w:type="dxa" w:w="5013"/>
            <w:tcMar>
              <w:top w:type="dxa" w:w="70"/>
              <w:left w:type="dxa" w:w="100"/>
              <w:bottom w:type="dxa" w:w="70"/>
              <w:right w:type="dxa" w:w="100"/>
            </w:tcMar>
            <w:vAlign w:val="center"/>
          </w:tcPr>
          <w:p>
            <w:pPr>
              <w:spacing w:after="0" w:line="240"/>
              <w:jc w:val="left"/>
            </w:pP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9</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Rate and amount of tax</w:t>
            </w:r>
            <w:r>
              <w:rPr>
                <w:rFonts w:ascii="Calibri" w:cs="Calibri" w:eastAsia="Calibri" w:hAnsi="Calibri"/>
                <w:sz w:val="17"/>
                <w:szCs w:val="17"/>
              </w:rPr>
              <w:t xml:space="preserve"> — CGST, SGST/UTGST, IGST, cess</w:t>
            </w:r>
          </w:p>
        </w:tc>
        <w:tc>
          <w:tcPr>
            <w:tcW w:type="dxa" w:w="50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Shown separately</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10</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Place of supply</w:t>
            </w:r>
            <w:r>
              <w:rPr>
                <w:rFonts w:ascii="Calibri" w:cs="Calibri" w:eastAsia="Calibri" w:hAnsi="Calibri"/>
                <w:sz w:val="17"/>
                <w:szCs w:val="17"/>
              </w:rPr>
              <w:t xml:space="preserve"> with State name</w:t>
            </w:r>
          </w:p>
        </w:tc>
        <w:tc>
          <w:tcPr>
            <w:tcW w:type="dxa" w:w="50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For inter-State supply</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11</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Address of delivery where different from the place of supply</w:t>
            </w:r>
          </w:p>
        </w:tc>
        <w:tc>
          <w:tcPr>
            <w:tcW w:type="dxa" w:w="5013"/>
            <w:tcMar>
              <w:top w:type="dxa" w:w="70"/>
              <w:left w:type="dxa" w:w="100"/>
              <w:bottom w:type="dxa" w:w="70"/>
              <w:right w:type="dxa" w:w="100"/>
            </w:tcMar>
            <w:vAlign w:val="center"/>
          </w:tcPr>
          <w:p>
            <w:pPr>
              <w:spacing w:after="0" w:line="240"/>
              <w:jc w:val="left"/>
            </w:pP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12</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Whether tax is payable on </w:t>
            </w:r>
            <w:r>
              <w:rPr>
                <w:rFonts w:ascii="Calibri" w:cs="Calibri" w:eastAsia="Calibri" w:hAnsi="Calibri"/>
                <w:b/>
                <w:bCs/>
                <w:sz w:val="17"/>
                <w:szCs w:val="17"/>
              </w:rPr>
              <w:t xml:space="preserve">reverse charge</w:t>
            </w:r>
          </w:p>
        </w:tc>
        <w:tc>
          <w:tcPr>
            <w:tcW w:type="dxa" w:w="5013"/>
            <w:tcMar>
              <w:top w:type="dxa" w:w="70"/>
              <w:left w:type="dxa" w:w="100"/>
              <w:bottom w:type="dxa" w:w="70"/>
              <w:right w:type="dxa" w:w="100"/>
            </w:tcMar>
            <w:vAlign w:val="center"/>
          </w:tcPr>
          <w:p>
            <w:pPr>
              <w:spacing w:after="0" w:line="240"/>
              <w:jc w:val="left"/>
            </w:pP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13</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Signature or digital signature of the supplier or an authorised person</w:t>
            </w:r>
          </w:p>
        </w:tc>
        <w:tc>
          <w:tcPr>
            <w:tcW w:type="dxa" w:w="5013"/>
            <w:tcMar>
              <w:top w:type="dxa" w:w="70"/>
              <w:left w:type="dxa" w:w="100"/>
              <w:bottom w:type="dxa" w:w="70"/>
              <w:right w:type="dxa" w:w="100"/>
            </w:tcMar>
            <w:vAlign w:val="center"/>
          </w:tcPr>
          <w:p>
            <w:pPr>
              <w:spacing w:after="0" w:line="240"/>
              <w:jc w:val="left"/>
            </w:pPr>
          </w:p>
        </w:tc>
      </w:tr>
    </w:tbl>
    <w:p>
      <w:pPr>
        <w:spacing w:after="140"/>
      </w:pPr>
    </w:p>
    <w:p>
      <w:pPr>
        <w:keepNext/>
        <w:spacing w:after="120" w:before="280"/>
        <w:outlineLvl w:val="0"/>
      </w:pPr>
      <w:r>
        <w:rPr>
          <w:rFonts w:ascii="Calibri" w:cs="Calibri" w:eastAsia="Calibri" w:hAnsi="Calibri"/>
          <w:b/>
          <w:bCs/>
          <w:color w:val="14161B"/>
          <w:sz w:val="22"/>
          <w:szCs w:val="22"/>
        </w:rPr>
        <w:t xml:space="preserve">2. TIME LIMITS AND COPIES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276"/>
        <w:gridCol w:w="6362"/>
      </w:tblGrid>
      <w:tr>
        <w:trPr>
          <w:cantSplit/>
          <w:tblHeader/>
        </w:trPr>
        <w:tc>
          <w:tcPr>
            <w:tcW w:type="dxa" w:w="32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Situation</w:t>
            </w:r>
          </w:p>
        </w:tc>
        <w:tc>
          <w:tcPr>
            <w:tcW w:type="dxa" w:w="636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Requirement</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Supply of goods</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Issue before or at removal, or at delivery where no removal</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Supply of services</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Issue within the prescribed period from the supply</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Continuous supply of goods</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On or before each statement or payment</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Continuous supply of services</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On or before the due date, or on payment, per the contract</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Goods sent on approval</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Before or at the time of supply, or within the period allowed</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Copies — goods</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Original for recipient, duplicate for transporter, triplicate for supplier</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Copies — services</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Original for recipient, duplicate for supplier</w:t>
            </w:r>
          </w:p>
        </w:tc>
      </w:tr>
    </w:tbl>
    <w:p>
      <w:pPr>
        <w:spacing w:after="140"/>
      </w:pPr>
    </w:p>
    <w:p>
      <w:pPr>
        <w:keepNext/>
        <w:spacing w:after="120" w:before="280"/>
        <w:outlineLvl w:val="0"/>
      </w:pPr>
      <w:r>
        <w:rPr>
          <w:rFonts w:ascii="Calibri" w:cs="Calibri" w:eastAsia="Calibri" w:hAnsi="Calibri"/>
          <w:b/>
          <w:bCs/>
          <w:color w:val="14161B"/>
          <w:sz w:val="22"/>
          <w:szCs w:val="22"/>
        </w:rPr>
        <w:t xml:space="preserve">3. WHEN THIS IS THE WRONG DOCUMENT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891"/>
        <w:gridCol w:w="6747"/>
      </w:tblGrid>
      <w:tr>
        <w:trPr>
          <w:cantSplit/>
          <w:tblHeader/>
        </w:trPr>
        <w:tc>
          <w:tcPr>
            <w:tcW w:type="dxa" w:w="289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Use instead</w:t>
            </w:r>
          </w:p>
        </w:tc>
        <w:tc>
          <w:tcPr>
            <w:tcW w:type="dxa" w:w="674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When</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Bill of Supply</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Exempt supplies, or where the supplier is under the composition scheme</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Delivery Challan</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Movement of goods that is not a supply — job work, approval, transfer</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Receipt voucher</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On receipt of an advance</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Refund voucher</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Where an advance is refunded and no supply is made</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Payment voucher</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Reverse charge supplies received from an unregistered person</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Credit note</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Value or tax reduced after issue</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Debit note</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Value or tax increased after issue</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Self-invoice</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Reverse charge supply received from an unregistered supplier</w:t>
            </w:r>
          </w:p>
        </w:tc>
      </w:tr>
    </w:tbl>
    <w:p>
      <w:pPr>
        <w:spacing w:after="140"/>
      </w:pPr>
    </w:p>
    <w:p>
      <w:pPr>
        <w:keepNext/>
        <w:spacing w:after="120" w:before="280"/>
        <w:outlineLvl w:val="0"/>
      </w:pPr>
      <w:r>
        <w:rPr>
          <w:rFonts w:ascii="Calibri" w:cs="Calibri" w:eastAsia="Calibri" w:hAnsi="Calibri"/>
          <w:b/>
          <w:bCs/>
          <w:color w:val="14161B"/>
          <w:sz w:val="22"/>
          <w:szCs w:val="22"/>
        </w:rPr>
        <w:t xml:space="preserve">4. E-INVOICING AND E-WAY BILL</w:t>
      </w:r>
    </w:p>
    <w:p>
      <w:pPr>
        <w:spacing w:after="120" w:before="60" w:line="276"/>
        <w:ind w:left="720" w:hanging="720"/>
        <w:jc w:val="both"/>
      </w:pPr>
      <w:r>
        <w:rPr>
          <w:rFonts w:ascii="Calibri" w:cs="Calibri" w:eastAsia="Calibri" w:hAnsi="Calibri"/>
          <w:sz w:val="21"/>
          <w:szCs w:val="21"/>
        </w:rPr>
        <w:t xml:space="preserve">4.1	</w:t>
      </w:r>
      <w:r>
        <w:rPr>
          <w:rFonts w:ascii="Calibri" w:cs="Calibri" w:eastAsia="Calibri" w:hAnsi="Calibri"/>
          <w:b/>
          <w:bCs/>
          <w:sz w:val="21"/>
          <w:szCs w:val="21"/>
        </w:rPr>
        <w:t xml:space="preserve">E-invoicing</w:t>
      </w:r>
      <w:r>
        <w:rPr>
          <w:rFonts w:ascii="Calibri" w:cs="Calibri" w:eastAsia="Calibri" w:hAnsi="Calibri"/>
          <w:sz w:val="21"/>
          <w:szCs w:val="21"/>
        </w:rPr>
        <w:t xml:space="preserve"> applies above the prescribed aggregate turnover threshold. Where it applies, the invoice must be reported to the Invoice Registration Portal and carry the </w:t>
      </w:r>
      <w:r>
        <w:rPr>
          <w:rFonts w:ascii="Calibri" w:cs="Calibri" w:eastAsia="Calibri" w:hAnsi="Calibri"/>
          <w:b/>
          <w:bCs/>
          <w:sz w:val="21"/>
          <w:szCs w:val="21"/>
        </w:rPr>
        <w:t xml:space="preserve">IRN and signed QR code</w:t>
      </w:r>
      <w:r>
        <w:rPr>
          <w:rFonts w:ascii="Calibri" w:cs="Calibri" w:eastAsia="Calibri" w:hAnsi="Calibri"/>
          <w:sz w:val="21"/>
          <w:szCs w:val="21"/>
        </w:rPr>
        <w:t xml:space="preserve"> — an invoice without them is not a valid tax invoice.</w:t>
      </w:r>
    </w:p>
    <w:p>
      <w:pPr>
        <w:spacing w:after="120" w:before="60" w:line="276"/>
        <w:ind w:left="720" w:hanging="720"/>
        <w:jc w:val="both"/>
      </w:pPr>
      <w:r>
        <w:rPr>
          <w:rFonts w:ascii="Calibri" w:cs="Calibri" w:eastAsia="Calibri" w:hAnsi="Calibri"/>
          <w:sz w:val="21"/>
          <w:szCs w:val="21"/>
        </w:rPr>
        <w:t xml:space="preserve">4.2	</w:t>
      </w:r>
      <w:r>
        <w:rPr>
          <w:rFonts w:ascii="Calibri" w:cs="Calibri" w:eastAsia="Calibri" w:hAnsi="Calibri"/>
          <w:sz w:val="21"/>
          <w:szCs w:val="21"/>
        </w:rPr>
        <w:t xml:space="preserve">The threshold has been reduced repeatedly. </w:t>
      </w:r>
      <w:r>
        <w:rPr>
          <w:rFonts w:ascii="Calibri" w:cs="Calibri" w:eastAsia="Calibri" w:hAnsi="Calibri"/>
          <w:b/>
          <w:bCs/>
          <w:sz w:val="21"/>
          <w:szCs w:val="21"/>
        </w:rPr>
        <w:t xml:space="preserve">Confirm the current threshold and your turnover position</w:t>
      </w:r>
      <w:r>
        <w:rPr>
          <w:rFonts w:ascii="Calibri" w:cs="Calibri" w:eastAsia="Calibri" w:hAnsi="Calibri"/>
          <w:sz w:val="21"/>
          <w:szCs w:val="21"/>
        </w:rPr>
        <w:t xml:space="preserve"> rather than relying on when you last checked.</w:t>
      </w:r>
    </w:p>
    <w:p>
      <w:pPr>
        <w:spacing w:after="120" w:before="60" w:line="276"/>
        <w:ind w:left="720" w:hanging="720"/>
        <w:jc w:val="both"/>
      </w:pPr>
      <w:r>
        <w:rPr>
          <w:rFonts w:ascii="Calibri" w:cs="Calibri" w:eastAsia="Calibri" w:hAnsi="Calibri"/>
          <w:sz w:val="21"/>
          <w:szCs w:val="21"/>
        </w:rPr>
        <w:t xml:space="preserve">4.3	</w:t>
      </w:r>
      <w:r>
        <w:rPr>
          <w:rFonts w:ascii="Calibri" w:cs="Calibri" w:eastAsia="Calibri" w:hAnsi="Calibri"/>
          <w:b/>
          <w:bCs/>
          <w:sz w:val="21"/>
          <w:szCs w:val="21"/>
        </w:rPr>
        <w:t xml:space="preserve">E-way bill</w:t>
      </w:r>
      <w:r>
        <w:rPr>
          <w:rFonts w:ascii="Calibri" w:cs="Calibri" w:eastAsia="Calibri" w:hAnsi="Calibri"/>
          <w:sz w:val="21"/>
          <w:szCs w:val="21"/>
        </w:rPr>
        <w:t xml:space="preserve"> requirements are separate and apply to the movement of goods above the prescribed value. An invoice can be perfect and the consignment still detained for want of an e-way bill.</w:t>
      </w:r>
    </w:p>
    <w:p>
      <w:pPr>
        <w:spacing w:after="120" w:before="60" w:line="276"/>
        <w:ind w:left="720" w:hanging="720"/>
        <w:jc w:val="both"/>
      </w:pPr>
      <w:r>
        <w:rPr>
          <w:rFonts w:ascii="Calibri" w:cs="Calibri" w:eastAsia="Calibri" w:hAnsi="Calibri"/>
          <w:sz w:val="21"/>
          <w:szCs w:val="21"/>
        </w:rPr>
        <w:t xml:space="preserve">4.4	</w:t>
      </w:r>
      <w:r>
        <w:rPr>
          <w:rFonts w:ascii="Calibri" w:cs="Calibri" w:eastAsia="Calibri" w:hAnsi="Calibri"/>
          <w:b/>
          <w:bCs/>
          <w:sz w:val="21"/>
          <w:szCs w:val="21"/>
        </w:rPr>
        <w:t xml:space="preserve">[Where B2C and turnover exceeds the threshold]</w:t>
      </w:r>
      <w:r>
        <w:rPr>
          <w:rFonts w:ascii="Calibri" w:cs="Calibri" w:eastAsia="Calibri" w:hAnsi="Calibri"/>
          <w:sz w:val="21"/>
          <w:szCs w:val="21"/>
        </w:rPr>
        <w:t xml:space="preserve"> A </w:t>
      </w:r>
      <w:r>
        <w:rPr>
          <w:rFonts w:ascii="Calibri" w:cs="Calibri" w:eastAsia="Calibri" w:hAnsi="Calibri"/>
          <w:b/>
          <w:bCs/>
          <w:sz w:val="21"/>
          <w:szCs w:val="21"/>
        </w:rPr>
        <w:t xml:space="preserve">dynamic QR code</w:t>
      </w:r>
      <w:r>
        <w:rPr>
          <w:rFonts w:ascii="Calibri" w:cs="Calibri" w:eastAsia="Calibri" w:hAnsi="Calibri"/>
          <w:sz w:val="21"/>
          <w:szCs w:val="21"/>
        </w:rPr>
        <w:t xml:space="preserve"> is required on B2C invoices.</w:t>
      </w:r>
    </w:p>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A defective invoice costs your customer the credit</w:t>
      </w:r>
    </w:p>
    <w:p>
      <w:pPr>
        <w:spacing w:after="60" w:line="264"/>
        <w:jc w:val="both"/>
      </w:pPr>
      <w:r>
        <w:rPr>
          <w:rFonts w:ascii="Calibri" w:cs="Calibri" w:eastAsia="Calibri" w:hAnsi="Calibri"/>
          <w:sz w:val="19"/>
          <w:szCs w:val="19"/>
        </w:rPr>
        <w:t xml:space="preserve">Input tax credit is available to the recipient only against a valid tax invoice containing the prescribed particulars, and only where the supplier has reported the supply and paid the tax. A missing GSTIN, a wrong place of supply, or an unreported invoice moves the loss onto the customer, who will come back to you. Treat the particulars as a commercial obligation, not a formality.</w:t>
      </w:r>
    </w:p>
    <w:p>
      <w:pPr>
        <w:keepNext/>
        <w:spacing w:after="40" w:before="140"/>
      </w:pPr>
      <w:r>
        <w:rPr>
          <w:rFonts w:ascii="Calibri" w:cs="Calibri" w:eastAsia="Calibri" w:hAnsi="Calibri"/>
          <w:b/>
          <w:bCs/>
          <w:color w:val="14161B"/>
          <w:sz w:val="20"/>
          <w:szCs w:val="20"/>
        </w:rPr>
        <w:t xml:space="preserve">Place of supply decides the tax type, and it is the usual error</w:t>
      </w:r>
    </w:p>
    <w:p>
      <w:pPr>
        <w:spacing w:after="60" w:line="264"/>
        <w:jc w:val="both"/>
      </w:pPr>
      <w:r>
        <w:rPr>
          <w:rFonts w:ascii="Calibri" w:cs="Calibri" w:eastAsia="Calibri" w:hAnsi="Calibri"/>
          <w:sz w:val="19"/>
          <w:szCs w:val="19"/>
        </w:rPr>
        <w:t xml:space="preserve">Central and State tax apply to an intra-State supply; integrated tax applies to an inter-State supply. The determination depends on the place of supply, which for services frequently is not the customer’s billing address — different rules apply to services connected with immovable property, transportation, events, and supplies to unregistered persons. Charging the wrong type means the customer cannot use the credit and the supplier must correct and re-report.</w:t>
      </w:r>
    </w:p>
    <w:p>
      <w:pPr>
        <w:keepNext/>
        <w:spacing w:after="40" w:before="140"/>
      </w:pPr>
      <w:r>
        <w:rPr>
          <w:rFonts w:ascii="Calibri" w:cs="Calibri" w:eastAsia="Calibri" w:hAnsi="Calibri"/>
          <w:b/>
          <w:bCs/>
          <w:color w:val="14161B"/>
          <w:sz w:val="20"/>
          <w:szCs w:val="20"/>
        </w:rPr>
        <w:t xml:space="preserve">Invoice numbering must be serial and unique for the year</w:t>
      </w:r>
    </w:p>
    <w:p>
      <w:pPr>
        <w:spacing w:after="60" w:line="264"/>
        <w:jc w:val="both"/>
      </w:pPr>
      <w:r>
        <w:rPr>
          <w:rFonts w:ascii="Calibri" w:cs="Calibri" w:eastAsia="Calibri" w:hAnsi="Calibri"/>
          <w:sz w:val="19"/>
          <w:szCs w:val="19"/>
        </w:rPr>
        <w:t xml:space="preserve">The number must be consecutive, unique within the financial year, and within the prescribed character limit. Separate series for different branches or supply types are permissible if each is itself consecutive. Gaps, duplicates and restarts mid-year are among the first things picked up in an audit.</w:t>
      </w:r>
    </w:p>
    <w:p>
      <w:pPr>
        <w:keepNext/>
        <w:spacing w:after="40" w:before="140"/>
      </w:pPr>
      <w:r>
        <w:rPr>
          <w:rFonts w:ascii="Calibri" w:cs="Calibri" w:eastAsia="Calibri" w:hAnsi="Calibri"/>
          <w:b/>
          <w:bCs/>
          <w:color w:val="14161B"/>
          <w:sz w:val="20"/>
          <w:szCs w:val="20"/>
        </w:rPr>
        <w:t xml:space="preserve">Time limits differ for goods and services</w:t>
      </w:r>
    </w:p>
    <w:p>
      <w:pPr>
        <w:spacing w:after="60" w:line="264"/>
        <w:jc w:val="both"/>
      </w:pPr>
      <w:r>
        <w:rPr>
          <w:rFonts w:ascii="Calibri" w:cs="Calibri" w:eastAsia="Calibri" w:hAnsi="Calibri"/>
          <w:sz w:val="19"/>
          <w:szCs w:val="19"/>
        </w:rPr>
        <w:t xml:space="preserve">For goods, the invoice is issued before or at the time of removal or delivery. For services, within the prescribed period from the supply. For continuous supply, by reference to the due date of payment or the event stated in the contract. Late invoicing shifts the tax period and creates a mismatch between your return and your customer’s.</w:t>
      </w:r>
    </w:p>
    <w:p>
      <w:pPr>
        <w:keepNext/>
        <w:spacing w:after="40" w:before="140"/>
      </w:pPr>
      <w:r>
        <w:rPr>
          <w:rFonts w:ascii="Calibri" w:cs="Calibri" w:eastAsia="Calibri" w:hAnsi="Calibri"/>
          <w:b/>
          <w:bCs/>
          <w:color w:val="14161B"/>
          <w:sz w:val="20"/>
          <w:szCs w:val="20"/>
        </w:rPr>
        <w:t xml:space="preserve">E-invoicing where the turnover threshold is crossed</w:t>
      </w:r>
    </w:p>
    <w:p>
      <w:pPr>
        <w:spacing w:after="60" w:line="264"/>
        <w:jc w:val="both"/>
      </w:pPr>
      <w:r>
        <w:rPr>
          <w:rFonts w:ascii="Calibri" w:cs="Calibri" w:eastAsia="Calibri" w:hAnsi="Calibri"/>
          <w:sz w:val="19"/>
          <w:szCs w:val="19"/>
        </w:rPr>
        <w:t xml:space="preserve">Where the turnover threshold applies, an invoice is valid only if reported to the portal and an invoice reference number obtained. An invoice raised outside that system is not a valid invoice at all, and the credit fails. The threshold has been progressively lowered; check whether it now applies to you rather than relying on a position taken when it did not.</w:t>
      </w:r>
    </w:p>
    <w:p>
      <w:pPr>
        <w:keepNext/>
        <w:spacing w:after="40" w:before="140"/>
      </w:pPr>
      <w:r>
        <w:rPr>
          <w:rFonts w:ascii="Calibri" w:cs="Calibri" w:eastAsia="Calibri" w:hAnsi="Calibri"/>
          <w:b/>
          <w:bCs/>
          <w:color w:val="14161B"/>
          <w:sz w:val="20"/>
          <w:szCs w:val="20"/>
        </w:rPr>
        <w:t xml:space="preserve">HSN or SAC at the right digit level</w:t>
      </w:r>
    </w:p>
    <w:p>
      <w:pPr>
        <w:spacing w:after="60" w:line="264"/>
        <w:jc w:val="both"/>
      </w:pPr>
      <w:r>
        <w:rPr>
          <w:rFonts w:ascii="Calibri" w:cs="Calibri" w:eastAsia="Calibri" w:hAnsi="Calibri"/>
          <w:sz w:val="19"/>
          <w:szCs w:val="19"/>
        </w:rPr>
        <w:t xml:space="preserve">The number of digits required depends on turnover. Stating fewer digits than required is a defect. Maintain the codes in the item master rather than typing them per invoice, and review them when the turnover band changes.</w:t>
      </w:r>
    </w:p>
    <w:p>
      <w:pPr>
        <w:keepNext/>
        <w:spacing w:after="40" w:before="140"/>
      </w:pPr>
      <w:r>
        <w:rPr>
          <w:rFonts w:ascii="Calibri" w:cs="Calibri" w:eastAsia="Calibri" w:hAnsi="Calibri"/>
          <w:b/>
          <w:bCs/>
          <w:color w:val="14161B"/>
          <w:sz w:val="20"/>
          <w:szCs w:val="20"/>
        </w:rPr>
        <w:t xml:space="preserve">Discounts before and after supply are treated differently</w:t>
      </w:r>
    </w:p>
    <w:p>
      <w:pPr>
        <w:spacing w:after="60" w:line="264"/>
        <w:jc w:val="both"/>
      </w:pPr>
      <w:r>
        <w:rPr>
          <w:rFonts w:ascii="Calibri" w:cs="Calibri" w:eastAsia="Calibri" w:hAnsi="Calibri"/>
          <w:sz w:val="19"/>
          <w:szCs w:val="19"/>
        </w:rPr>
        <w:t xml:space="preserve">A discount given at or before the time of supply and shown on the invoice reduces the taxable value. A discount given afterwards reduces it only if it was agreed before or at the time of supply, is linked to the specific invoices, and the recipient reverses the corresponding credit. Post-supply discounts handled informally are a recurring audit finding — use a credit note.</w:t>
      </w:r>
    </w:p>
    <w:p>
      <w:pPr>
        <w:keepNext/>
        <w:spacing w:after="40" w:before="140"/>
      </w:pPr>
      <w:r>
        <w:rPr>
          <w:rFonts w:ascii="Calibri" w:cs="Calibri" w:eastAsia="Calibri" w:hAnsi="Calibri"/>
          <w:b/>
          <w:bCs/>
          <w:color w:val="14161B"/>
          <w:sz w:val="20"/>
          <w:szCs w:val="20"/>
        </w:rPr>
        <w:t xml:space="preserve">Bill to and ship to may differ</w:t>
      </w:r>
    </w:p>
    <w:p>
      <w:pPr>
        <w:spacing w:after="60" w:line="264"/>
        <w:jc w:val="both"/>
      </w:pPr>
      <w:r>
        <w:rPr>
          <w:rFonts w:ascii="Calibri" w:cs="Calibri" w:eastAsia="Calibri" w:hAnsi="Calibri"/>
          <w:sz w:val="19"/>
          <w:szCs w:val="19"/>
        </w:rPr>
        <w:t xml:space="preserve">Where goods are delivered to a person other than the buyer, both parties must be shown, and the place of supply is determined by the applicable rule rather than by the delivery address. Getting this wrong on a three-party transaction is common.</w:t>
      </w:r>
    </w:p>
    <w:p>
      <w:pPr>
        <w:keepNext/>
        <w:spacing w:after="40" w:before="140"/>
      </w:pPr>
      <w:r>
        <w:rPr>
          <w:rFonts w:ascii="Calibri" w:cs="Calibri" w:eastAsia="Calibri" w:hAnsi="Calibri"/>
          <w:b/>
          <w:bCs/>
          <w:color w:val="14161B"/>
          <w:sz w:val="20"/>
          <w:szCs w:val="20"/>
        </w:rPr>
        <w:t xml:space="preserve">Reverse charge must be stated</w:t>
      </w:r>
    </w:p>
    <w:p>
      <w:pPr>
        <w:spacing w:after="60" w:line="264"/>
        <w:jc w:val="both"/>
      </w:pPr>
      <w:r>
        <w:rPr>
          <w:rFonts w:ascii="Calibri" w:cs="Calibri" w:eastAsia="Calibri" w:hAnsi="Calibri"/>
          <w:sz w:val="19"/>
          <w:szCs w:val="19"/>
        </w:rPr>
        <w:t xml:space="preserve">Where tax is payable by the recipient on reverse charge, the invoice must say so, and the supplier does not charge the tax. Silence on the point leads either to double payment or to neither party paying.</w:t>
      </w:r>
    </w:p>
    <w:p>
      <w:pPr>
        <w:keepNext/>
        <w:spacing w:after="40" w:before="140"/>
      </w:pPr>
      <w:r>
        <w:rPr>
          <w:rFonts w:ascii="Calibri" w:cs="Calibri" w:eastAsia="Calibri" w:hAnsi="Calibri"/>
          <w:b/>
          <w:bCs/>
          <w:color w:val="14161B"/>
          <w:sz w:val="20"/>
          <w:szCs w:val="20"/>
        </w:rPr>
        <w:t xml:space="preserve">Exports and supplies to a special economic zone</w:t>
      </w:r>
    </w:p>
    <w:p>
      <w:pPr>
        <w:spacing w:after="60" w:line="264"/>
        <w:jc w:val="both"/>
      </w:pPr>
      <w:r>
        <w:rPr>
          <w:rFonts w:ascii="Calibri" w:cs="Calibri" w:eastAsia="Calibri" w:hAnsi="Calibri"/>
          <w:sz w:val="19"/>
          <w:szCs w:val="19"/>
        </w:rPr>
        <w:t xml:space="preserve">These are zero-rated and must carry the prescribed endorsement, and the invoice must state whether the supply is made on payment of integrated tax or under a bond or letter of undertaking without payment. Omitting the endorsement delays the refund.</w:t>
      </w:r>
    </w:p>
    <w:p>
      <w:pPr>
        <w:keepNext/>
        <w:spacing w:after="40" w:before="140"/>
      </w:pPr>
      <w:r>
        <w:rPr>
          <w:rFonts w:ascii="Calibri" w:cs="Calibri" w:eastAsia="Calibri" w:hAnsi="Calibri"/>
          <w:b/>
          <w:bCs/>
          <w:color w:val="14161B"/>
          <w:sz w:val="20"/>
          <w:szCs w:val="20"/>
        </w:rPr>
        <w:t xml:space="preserve">Payment terms and micro and small enterprises</w:t>
      </w:r>
    </w:p>
    <w:p>
      <w:pPr>
        <w:spacing w:after="60" w:line="264"/>
        <w:jc w:val="both"/>
      </w:pPr>
      <w:r>
        <w:rPr>
          <w:rFonts w:ascii="Calibri" w:cs="Calibri" w:eastAsia="Calibri" w:hAnsi="Calibri"/>
          <w:sz w:val="19"/>
          <w:szCs w:val="19"/>
        </w:rPr>
        <w:t xml:space="preserve">Where the supplier is a registered micro or small enterprise, statutory payment timelines apply and interest runs automatically on delay, with consequences for the buyer’s deduction of the expenditure. State the registration on the invoice so the buyer knows the position — buyers frequently do not, and discover it at year end.</w:t>
      </w:r>
    </w:p>
    <w:p>
      <w:pPr>
        <w:keepNext/>
        <w:spacing w:after="40" w:before="140"/>
      </w:pPr>
      <w:r>
        <w:rPr>
          <w:rFonts w:ascii="Calibri" w:cs="Calibri" w:eastAsia="Calibri" w:hAnsi="Calibri"/>
          <w:b/>
          <w:bCs/>
          <w:color w:val="14161B"/>
          <w:sz w:val="20"/>
          <w:szCs w:val="20"/>
        </w:rPr>
        <w:t xml:space="preserve">Credit and debit notes, not edits</w:t>
      </w:r>
    </w:p>
    <w:p>
      <w:pPr>
        <w:spacing w:after="60" w:line="264"/>
        <w:jc w:val="both"/>
      </w:pPr>
      <w:r>
        <w:rPr>
          <w:rFonts w:ascii="Calibri" w:cs="Calibri" w:eastAsia="Calibri" w:hAnsi="Calibri"/>
          <w:sz w:val="19"/>
          <w:szCs w:val="19"/>
        </w:rPr>
        <w:t xml:space="preserve">An invoice already issued and reported cannot simply be edited. Correct it by a credit or debit note carrying its own particulars and reference to the original invoice, and report it within the period prescribed. Revised invoices are permitted only in limited circumstances.</w:t>
      </w:r>
    </w:p>
    <w:p>
      <w:pPr>
        <w:keepNext/>
        <w:spacing w:after="40" w:before="140"/>
      </w:pPr>
      <w:r>
        <w:rPr>
          <w:rFonts w:ascii="Calibri" w:cs="Calibri" w:eastAsia="Calibri" w:hAnsi="Calibri"/>
          <w:b/>
          <w:bCs/>
          <w:color w:val="14161B"/>
          <w:sz w:val="20"/>
          <w:szCs w:val="20"/>
        </w:rPr>
        <w:t xml:space="preserve">Retention</w:t>
      </w:r>
    </w:p>
    <w:p>
      <w:pPr>
        <w:spacing w:after="60" w:line="264"/>
        <w:jc w:val="both"/>
      </w:pPr>
      <w:r>
        <w:rPr>
          <w:rFonts w:ascii="Calibri" w:cs="Calibri" w:eastAsia="Calibri" w:hAnsi="Calibri"/>
          <w:sz w:val="19"/>
          <w:szCs w:val="19"/>
        </w:rPr>
        <w:t xml:space="preserve">Invoices and the underlying records must be retained for the period prescribed, and longer where a proceeding is pending. Retain the reported data as well as the document.</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Indian tax law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Prescribed particulars, e-invoicing thresholds, HSN digit requirements, time limits and place of supply rules all change — have the invoice template and the accounting system configuration reviewed by a tax adviser, and again whenever the turnover band changes.</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2026-08-24T17:48:56.388Z</dcterms:created>
  <dcterms:modified xsi:type="dcterms:W3CDTF">2026-08-24T17:48:56.388Z</dcterms:modified>
</cp:coreProperties>
</file>

<file path=docProps/custom.xml><?xml version="1.0" encoding="utf-8"?>
<Properties xmlns="http://schemas.openxmlformats.org/officeDocument/2006/custom-properties" xmlns:vt="http://schemas.openxmlformats.org/officeDocument/2006/docPropsVTypes"/>
</file>