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5.xml"/>
  <Override ContentType="application/vnd.openxmlformats-officedocument.wordprocessingml.footer+xml" PartName="/word/footer6.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STATUTORY REGISTERS</w:t>
      </w:r>
    </w:p>
    <w:p>
      <w:pPr>
        <w:spacing w:after="260"/>
        <w:jc w:val="center"/>
      </w:pPr>
      <w:r>
        <w:rPr>
          <w:rFonts w:ascii="Calibri" w:cs="Calibri" w:eastAsia="Calibri" w:hAnsi="Calibri"/>
          <w:i/>
          <w:iCs/>
          <w:color w:val="6E7480"/>
          <w:sz w:val="19"/>
          <w:szCs w:val="19"/>
        </w:rPr>
        <w:t xml:space="preserve">Maintained by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under the Companies Act, 2013</w:t>
      </w:r>
    </w:p>
    <w:p>
      <w:pPr>
        <w:spacing w:after="180" w:before="0" w:line="276"/>
        <w:jc w:val="both"/>
      </w:pPr>
      <w:r>
        <w:rPr>
          <w:rFonts w:ascii="Calibri" w:cs="Calibri" w:eastAsia="Calibri" w:hAnsi="Calibri"/>
          <w:i/>
          <w:iCs/>
          <w:color w:val="6E7480"/>
          <w:sz w:val="21"/>
          <w:szCs w:val="21"/>
        </w:rPr>
        <w:t xml:space="preserve">Statutory registers are permanent records. Several must be kept from incorporation to dissolution, must be maintained at the registered office unless the members have resolved otherwise, and must be open to inspection. They are among the first documents requested in any diligence, and the most common finding is not that they are wrong but that they were written up years after the events they record.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891"/>
        <w:gridCol w:w="6747"/>
      </w:tblGrid>
      <w:tr>
        <w:trPr>
          <w:tblHeader/>
        </w:trPr>
        <w:tc>
          <w:tcPr>
            <w:tcW w:type="dxa" w:w="289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74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Company</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CIN </w:t>
            </w:r>
            <w:r>
              <w:rPr>
                <w:rFonts w:ascii="Calibri" w:cs="Calibri" w:eastAsia="Calibri" w:hAnsi="Calibri"/>
                <w:b/>
                <w:bCs/>
                <w:sz w:val="19"/>
                <w:szCs w:val="19"/>
              </w:rPr>
              <w:t xml:space="preserve">[CIN]</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Place at which registers are kept</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r>
              <w:rPr>
                <w:rFonts w:ascii="Calibri" w:cs="Calibri" w:eastAsia="Calibri" w:hAnsi="Calibri"/>
                <w:sz w:val="19"/>
                <w:szCs w:val="19"/>
              </w:rPr>
              <w:t xml:space="preserve"> </w:t>
            </w:r>
            <w:r>
              <w:rPr>
                <w:rFonts w:ascii="Calibri" w:cs="Calibri" w:eastAsia="Calibri" w:hAnsi="Calibri"/>
                <w:b/>
                <w:bCs/>
                <w:sz w:val="19"/>
                <w:szCs w:val="19"/>
              </w:rPr>
              <w:t xml:space="preserve">[, pursuant to the special resolution passed on ______ authorising the keeping of registers at a place other than the registered office]</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Person responsible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w:t>
            </w:r>
            <w:r>
              <w:rPr>
                <w:rFonts w:ascii="Calibri" w:cs="Calibri" w:eastAsia="Calibri" w:hAnsi="Calibri"/>
                <w:b/>
                <w:bCs/>
                <w:sz w:val="19"/>
                <w:szCs w:val="19"/>
              </w:rPr>
              <w:t xml:space="preserve">[Company Secretary / Director]</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Form of maintenance</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[Physical bound register / Electronic form, with the safeguards prescribed]</w:t>
            </w:r>
          </w:p>
        </w:tc>
      </w:tr>
      <w:tr>
        <w:tc>
          <w:tcPr>
            <w:tcW w:type="dxa" w:w="289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Last updated</w:t>
            </w:r>
          </w:p>
        </w:tc>
        <w:tc>
          <w:tcPr>
            <w:tcW w:type="dxa" w:w="674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200"/>
      </w:pPr>
    </w:p>
    <w:p>
      <w:pPr>
        <w:keepNext/>
        <w:spacing w:after="120" w:before="280"/>
        <w:outlineLvl w:val="0"/>
      </w:pPr>
      <w:r>
        <w:rPr>
          <w:rFonts w:ascii="Calibri" w:cs="Calibri" w:eastAsia="Calibri" w:hAnsi="Calibri"/>
          <w:b/>
          <w:bCs/>
          <w:color w:val="14161B"/>
          <w:sz w:val="22"/>
          <w:szCs w:val="22"/>
        </w:rPr>
        <w:t xml:space="preserve">INDEX OF REGISTERS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85"/>
        <w:gridCol w:w="3084"/>
        <w:gridCol w:w="963"/>
        <w:gridCol w:w="1542"/>
        <w:gridCol w:w="2313"/>
        <w:gridCol w:w="1351"/>
      </w:tblGrid>
      <w:tr>
        <w:trPr>
          <w:tblHeader/>
        </w:trPr>
        <w:tc>
          <w:tcPr>
            <w:tcW w:type="dxa" w:w="38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Maintained</w:t>
            </w:r>
          </w:p>
        </w:tc>
        <w:tc>
          <w:tcPr>
            <w:tcW w:type="dxa" w:w="154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Retention</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Open to inspection by</w:t>
            </w:r>
          </w:p>
        </w:tc>
        <w:tc>
          <w:tcPr>
            <w:tcW w:type="dxa" w:w="13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members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and any other person, on payment of the prescribed fee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debenture holders and other security holders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the period prescribed after redemption</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debenture holders and others 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Foreign register of members, where kept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for the register of members</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for the register of members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Index of members, where the membership exceeds the prescribed number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 the register</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 the register</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directors and key managerial personnel and their securities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free of charge</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charges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 and creditors, and any other person on payment</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contracts or arrangements in which directors are interested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loans, guarantees, security and investments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renewed and duplicate share certificates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sweat equity shares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employee stock options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shares bought back</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the period prescribed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deposits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the period prescribed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significant beneficial owners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Members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Minute books — Board, general meetings, and each committee, separately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Permanently</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prescribed</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r>
        <w:tc>
          <w:tcPr>
            <w:tcW w:type="dxa" w:w="38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Books of account and supporting vouchers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[Y/N]</w:t>
            </w:r>
          </w:p>
        </w:tc>
        <w:tc>
          <w:tcPr>
            <w:tcW w:type="dxa" w:w="1542"/>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 the period prescribed</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Directors</w:t>
            </w:r>
          </w:p>
        </w:tc>
        <w:tc>
          <w:tcPr>
            <w:tcW w:type="dxa" w:w="1351"/>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[LOCATION]</w:t>
            </w:r>
          </w:p>
        </w:tc>
      </w:tr>
    </w:tbl>
    <w:p>
      <w:pPr>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pPr>
    </w:p>
    <w:p>
      <w:pPr>
        <w:spacing w:after="60" w:before="240"/>
        <w:jc w:val="center"/>
      </w:pPr>
      <w:r>
        <w:rPr>
          <w:rFonts w:ascii="Calibri" w:cs="Calibri" w:eastAsia="Calibri" w:hAnsi="Calibri"/>
          <w:b/>
          <w:bCs/>
          <w:color w:val="14161B"/>
          <w:spacing w:val="12"/>
          <w:sz w:val="28"/>
          <w:szCs w:val="28"/>
        </w:rPr>
        <w:t xml:space="preserve">REGISTER 1</w:t>
      </w:r>
    </w:p>
    <w:p>
      <w:pPr>
        <w:spacing w:after="260"/>
        <w:jc w:val="center"/>
      </w:pPr>
      <w:r>
        <w:rPr>
          <w:rFonts w:ascii="Calibri" w:cs="Calibri" w:eastAsia="Calibri" w:hAnsi="Calibri"/>
          <w:i/>
          <w:iCs/>
          <w:color w:val="6E7480"/>
          <w:sz w:val="19"/>
          <w:szCs w:val="19"/>
        </w:rPr>
        <w:t xml:space="preserve">Register of Members — Equity Shares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751"/>
        <w:gridCol w:w="2105"/>
        <w:gridCol w:w="1203"/>
        <w:gridCol w:w="1052"/>
        <w:gridCol w:w="1203"/>
        <w:gridCol w:w="1203"/>
        <w:gridCol w:w="1804"/>
        <w:gridCol w:w="1203"/>
        <w:gridCol w:w="1052"/>
        <w:gridCol w:w="1203"/>
        <w:gridCol w:w="1052"/>
        <w:gridCol w:w="756"/>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7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Folio no.</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and address of member</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Email</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PAN / CIN</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Nationality and status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becoming a member</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 held — number and distinctive nos.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Certificate no. / DP ID</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 paid (₹)</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transfer or cessation</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Nominee</w:t>
            </w:r>
          </w:p>
        </w:tc>
        <w:tc>
          <w:tcPr>
            <w:tcW w:type="dxa" w:w="7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[EMAIL]</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[Indian / Non-resident]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[FROM]</w:t>
            </w:r>
            <w:r>
              <w:rPr>
                <w:rFonts w:ascii="Calibri" w:cs="Calibri" w:eastAsia="Calibri" w:hAnsi="Calibri"/>
                <w:sz w:val="15"/>
                <w:szCs w:val="15"/>
              </w:rPr>
              <w:t xml:space="preserve">–</w:t>
            </w:r>
            <w:r>
              <w:rPr>
                <w:rFonts w:ascii="Calibri" w:cs="Calibri" w:eastAsia="Calibri" w:hAnsi="Calibri"/>
                <w:b/>
                <w:bCs/>
                <w:sz w:val="15"/>
                <w:szCs w:val="15"/>
              </w:rPr>
              <w:t xml:space="preserve">[TO]</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 / DP ID]</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 —]</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[EMAIL]</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[RANGE]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751"/>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[EMAIL]</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[STATUS]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[RANGE]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7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2</w:t>
      </w:r>
    </w:p>
    <w:p>
      <w:pPr>
        <w:spacing w:after="260"/>
        <w:jc w:val="center"/>
      </w:pPr>
      <w:r>
        <w:rPr>
          <w:rFonts w:ascii="Calibri" w:cs="Calibri" w:eastAsia="Calibri" w:hAnsi="Calibri"/>
          <w:i/>
          <w:iCs/>
          <w:color w:val="6E7480"/>
          <w:sz w:val="19"/>
          <w:szCs w:val="19"/>
        </w:rPr>
        <w:t xml:space="preserve">Register of Directors and Key Managerial Personnel and their Securities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503"/>
        <w:gridCol w:w="1052"/>
        <w:gridCol w:w="1353"/>
        <w:gridCol w:w="1503"/>
        <w:gridCol w:w="1954"/>
        <w:gridCol w:w="1353"/>
        <w:gridCol w:w="1203"/>
        <w:gridCol w:w="1503"/>
        <w:gridCol w:w="1503"/>
        <w:gridCol w:w="1660"/>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DIN / PAN</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Father’s or mother’s name</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birth and nationality</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Residential address</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Designation</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appointment</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cessation and reason</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Other directorships</w:t>
            </w:r>
          </w:p>
        </w:tc>
        <w:tc>
          <w:tcPr>
            <w:tcW w:type="dxa" w:w="16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Securities held — number, class, consideration, date</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r>
              <w:rPr>
                <w:rFonts w:ascii="Calibri" w:cs="Calibri" w:eastAsia="Calibri" w:hAnsi="Calibri"/>
                <w:sz w:val="15"/>
                <w:szCs w:val="15"/>
              </w:rPr>
              <w:t xml:space="preserve">; </w:t>
            </w:r>
            <w:r>
              <w:rPr>
                <w:rFonts w:ascii="Calibri" w:cs="Calibri" w:eastAsia="Calibri" w:hAnsi="Calibri"/>
                <w:b/>
                <w:bCs/>
                <w:sz w:val="15"/>
                <w:szCs w:val="15"/>
              </w:rPr>
              <w:t xml:space="preserve">[NATIONALITY]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[DESIGNATION]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REASON / —]</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 WITH CIN]</w:t>
            </w:r>
          </w:p>
        </w:tc>
        <w:tc>
          <w:tcPr>
            <w:tcW w:type="dxa" w:w="16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[DIN]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r>
              <w:rPr>
                <w:rFonts w:ascii="Calibri" w:cs="Calibri" w:eastAsia="Calibri" w:hAnsi="Calibri"/>
                <w:sz w:val="15"/>
                <w:szCs w:val="15"/>
              </w:rPr>
              <w:t xml:space="preserve">; </w:t>
            </w:r>
            <w:r>
              <w:rPr>
                <w:rFonts w:ascii="Calibri" w:cs="Calibri" w:eastAsia="Calibri" w:hAnsi="Calibri"/>
                <w:b/>
                <w:bCs/>
                <w:sz w:val="15"/>
                <w:szCs w:val="15"/>
              </w:rPr>
              <w:t xml:space="preserve">[NATIONALITY]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[DESIGNATION]</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REASON]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[LIST]</w:t>
            </w:r>
          </w:p>
        </w:tc>
        <w:tc>
          <w:tcPr>
            <w:tcW w:type="dxa" w:w="16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3</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r>
              <w:rPr>
                <w:rFonts w:ascii="Calibri" w:cs="Calibri" w:eastAsia="Calibri" w:hAnsi="Calibri"/>
                <w:sz w:val="15"/>
                <w:szCs w:val="15"/>
              </w:rPr>
              <w:t xml:space="preserve">; </w:t>
            </w:r>
            <w:r>
              <w:rPr>
                <w:rFonts w:ascii="Calibri" w:cs="Calibri" w:eastAsia="Calibri" w:hAnsi="Calibri"/>
                <w:b/>
                <w:bCs/>
                <w:sz w:val="15"/>
                <w:szCs w:val="15"/>
              </w:rPr>
              <w:t xml:space="preserve">[NATIONALITY]</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[Company Secretary]</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REASON]</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w:t>
            </w:r>
          </w:p>
        </w:tc>
        <w:tc>
          <w:tcPr>
            <w:tcW w:type="dxa" w:w="1660"/>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[DETAILS]</w:t>
            </w: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3</w:t>
      </w:r>
    </w:p>
    <w:p>
      <w:pPr>
        <w:spacing w:after="260"/>
        <w:jc w:val="center"/>
      </w:pPr>
      <w:r>
        <w:rPr>
          <w:rFonts w:ascii="Calibri" w:cs="Calibri" w:eastAsia="Calibri" w:hAnsi="Calibri"/>
          <w:i/>
          <w:iCs/>
          <w:color w:val="6E7480"/>
          <w:sz w:val="19"/>
          <w:szCs w:val="19"/>
        </w:rPr>
        <w:t xml:space="preserve">Register of Charges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503"/>
        <w:gridCol w:w="1052"/>
        <w:gridCol w:w="1654"/>
        <w:gridCol w:w="1654"/>
        <w:gridCol w:w="2105"/>
        <w:gridCol w:w="1353"/>
        <w:gridCol w:w="1804"/>
        <w:gridCol w:w="1353"/>
        <w:gridCol w:w="1353"/>
        <w:gridCol w:w="756"/>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creation or modification</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Charge ID</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Charge holder</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 of charge</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Property or asset charged</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 secured (₹)</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Terms and conditions</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filing with the Registrar</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satisfaction and filing</w:t>
            </w:r>
          </w:p>
        </w:tc>
        <w:tc>
          <w:tcPr>
            <w:tcW w:type="dxa" w:w="7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[LENDER]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[Hypothecation / Mortgage / Pledge]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[DESCRIPTION]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[SUMMARY]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 Outstanding]</w:t>
            </w:r>
          </w:p>
        </w:tc>
        <w:tc>
          <w:tcPr>
            <w:tcW w:type="dxa" w:w="7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[LENDER]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[TYPE]</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[DESCRIPTION]</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[SUMMARY]</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5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[REMARKS]</w:t>
            </w: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4</w:t>
      </w:r>
    </w:p>
    <w:p>
      <w:pPr>
        <w:spacing w:after="260"/>
        <w:jc w:val="center"/>
      </w:pPr>
      <w:r>
        <w:rPr>
          <w:rFonts w:ascii="Calibri" w:cs="Calibri" w:eastAsia="Calibri" w:hAnsi="Calibri"/>
          <w:i/>
          <w:iCs/>
          <w:color w:val="6E7480"/>
          <w:sz w:val="19"/>
          <w:szCs w:val="19"/>
        </w:rPr>
        <w:t xml:space="preserve">Register of Contracts or Arrangements in which Directors are Interested</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203"/>
        <w:gridCol w:w="1503"/>
        <w:gridCol w:w="1654"/>
        <w:gridCol w:w="1654"/>
        <w:gridCol w:w="1804"/>
        <w:gridCol w:w="1954"/>
        <w:gridCol w:w="1203"/>
        <w:gridCol w:w="1353"/>
        <w:gridCol w:w="1203"/>
        <w:gridCol w:w="1056"/>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contract</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party</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Relationship and basis</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interested director</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 of interest</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Principal terms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Value (₹)</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Board or member approval</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placed before the Board</w:t>
            </w:r>
          </w:p>
        </w:tc>
        <w:tc>
          <w:tcPr>
            <w:tcW w:type="dxa" w:w="10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Signature of directors present</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 AND EXTENT]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[TERMS]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6"/>
            <w:tcMar>
              <w:top w:type="dxa" w:w="70"/>
              <w:left w:type="dxa" w:w="100"/>
              <w:bottom w:type="dxa" w:w="70"/>
              <w:right w:type="dxa" w:w="100"/>
            </w:tcMar>
            <w:vAlign w:val="center"/>
          </w:tcPr>
          <w:p>
            <w:pPr>
              <w:spacing w:after="0" w:line="240"/>
              <w:jc w:val="left"/>
            </w:pP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[BASIS]</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[TERMS]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6"/>
            <w:tcMar>
              <w:top w:type="dxa" w:w="70"/>
              <w:left w:type="dxa" w:w="100"/>
              <w:bottom w:type="dxa" w:w="70"/>
              <w:right w:type="dxa" w:w="100"/>
            </w:tcMar>
            <w:vAlign w:val="center"/>
          </w:tcPr>
          <w:p>
            <w:pPr>
              <w:spacing w:after="0" w:line="240"/>
              <w:jc w:val="left"/>
            </w:pP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5</w:t>
      </w:r>
    </w:p>
    <w:p>
      <w:pPr>
        <w:spacing w:after="260"/>
        <w:jc w:val="center"/>
      </w:pPr>
      <w:r>
        <w:rPr>
          <w:rFonts w:ascii="Calibri" w:cs="Calibri" w:eastAsia="Calibri" w:hAnsi="Calibri"/>
          <w:i/>
          <w:iCs/>
          <w:color w:val="6E7480"/>
          <w:sz w:val="19"/>
          <w:szCs w:val="19"/>
        </w:rPr>
        <w:t xml:space="preserve">Register of Loans, Guarantees, Security and Investments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052"/>
        <w:gridCol w:w="1654"/>
        <w:gridCol w:w="1954"/>
        <w:gridCol w:w="1203"/>
        <w:gridCol w:w="2406"/>
        <w:gridCol w:w="1052"/>
        <w:gridCol w:w="1353"/>
        <w:gridCol w:w="1503"/>
        <w:gridCol w:w="1353"/>
        <w:gridCol w:w="105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the body corporate or person</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 (₹)</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Purpose for which it is to be utilised by the recipient</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Rate of interest</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 of repayment</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Security</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Board or member approval</w:t>
            </w:r>
          </w:p>
        </w:tc>
        <w:tc>
          <w:tcPr>
            <w:tcW w:type="dxa" w:w="10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 outstanding (₹)</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[Loan / Guarantee / Security / Investment]</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[PURPOSE]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[PURPOSE]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[PERIOD]</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[DETAILS]</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[AMOUNT]</w:t>
            </w: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6</w:t>
      </w:r>
    </w:p>
    <w:p>
      <w:pPr>
        <w:spacing w:after="260"/>
        <w:jc w:val="center"/>
      </w:pPr>
      <w:r>
        <w:rPr>
          <w:rFonts w:ascii="Calibri" w:cs="Calibri" w:eastAsia="Calibri" w:hAnsi="Calibri"/>
          <w:i/>
          <w:iCs/>
          <w:color w:val="6E7480"/>
          <w:sz w:val="19"/>
          <w:szCs w:val="19"/>
        </w:rPr>
        <w:t xml:space="preserve">Register of Employee Stock Options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1654"/>
        <w:gridCol w:w="1052"/>
        <w:gridCol w:w="1052"/>
        <w:gridCol w:w="1203"/>
        <w:gridCol w:w="1203"/>
        <w:gridCol w:w="1654"/>
        <w:gridCol w:w="1052"/>
        <w:gridCol w:w="1503"/>
        <w:gridCol w:w="1654"/>
        <w:gridCol w:w="1353"/>
        <w:gridCol w:w="1207"/>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grantee</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Employee ID</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grant</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Options granted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Exercise price (₹)</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Vesting schedule</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Options vested</w:t>
            </w:r>
          </w:p>
        </w:tc>
        <w:tc>
          <w:tcPr>
            <w:tcW w:type="dxa" w:w="15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Options exercised and date</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Shares issued and certificate no.</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Options lapsed or cancelled</w:t>
            </w:r>
          </w:p>
        </w:tc>
        <w:tc>
          <w:tcPr>
            <w:tcW w:type="dxa" w:w="120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Options outstanding</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[PRICE]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[SCHEDULE]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[NO.]</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[ID]</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[PRICE]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[SCHEDULE]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[DATE]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r>
              <w:rPr>
                <w:rFonts w:ascii="Calibri" w:cs="Calibri" w:eastAsia="Calibri" w:hAnsi="Calibri"/>
                <w:sz w:val="15"/>
                <w:szCs w:val="15"/>
              </w:rPr>
              <w:t xml:space="preserve">; </w:t>
            </w:r>
            <w:r>
              <w:rPr>
                <w:rFonts w:ascii="Calibri" w:cs="Calibri" w:eastAsia="Calibri" w:hAnsi="Calibri"/>
                <w:b/>
                <w:bCs/>
                <w:sz w:val="15"/>
                <w:szCs w:val="15"/>
              </w:rPr>
              <w:t xml:space="preserve">[NO.]</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r>
      <w:tr>
        <w:tc>
          <w:tcPr>
            <w:tcW w:type="dxa" w:w="451"/>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Total</w:t>
            </w:r>
          </w:p>
        </w:tc>
        <w:tc>
          <w:tcPr>
            <w:tcW w:type="dxa" w:w="1052"/>
            <w:tcMar>
              <w:top w:type="dxa" w:w="70"/>
              <w:left w:type="dxa" w:w="100"/>
              <w:bottom w:type="dxa" w:w="70"/>
              <w:right w:type="dxa" w:w="100"/>
            </w:tcMar>
            <w:vAlign w:val="center"/>
          </w:tcPr>
          <w:p>
            <w:pPr>
              <w:spacing w:after="0" w:line="240"/>
              <w:jc w:val="left"/>
            </w:pPr>
          </w:p>
        </w:tc>
        <w:tc>
          <w:tcPr>
            <w:tcW w:type="dxa" w:w="1052"/>
            <w:tcMar>
              <w:top w:type="dxa" w:w="70"/>
              <w:left w:type="dxa" w:w="100"/>
              <w:bottom w:type="dxa" w:w="70"/>
              <w:right w:type="dxa" w:w="100"/>
            </w:tcMar>
            <w:vAlign w:val="center"/>
          </w:tcPr>
          <w:p>
            <w:pPr>
              <w:spacing w:after="0" w:line="240"/>
              <w:jc w:val="left"/>
            </w:pP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3"/>
            <w:tcMar>
              <w:top w:type="dxa" w:w="70"/>
              <w:left w:type="dxa" w:w="100"/>
              <w:bottom w:type="dxa" w:w="70"/>
              <w:right w:type="dxa" w:w="100"/>
            </w:tcMar>
            <w:vAlign w:val="center"/>
          </w:tcPr>
          <w:p>
            <w:pPr>
              <w:spacing w:after="0" w:line="240"/>
              <w:jc w:val="left"/>
            </w:pPr>
          </w:p>
        </w:tc>
        <w:tc>
          <w:tcPr>
            <w:tcW w:type="dxa" w:w="1654"/>
            <w:tcMar>
              <w:top w:type="dxa" w:w="70"/>
              <w:left w:type="dxa" w:w="100"/>
              <w:bottom w:type="dxa" w:w="70"/>
              <w:right w:type="dxa" w:w="100"/>
            </w:tcMar>
            <w:vAlign w:val="center"/>
          </w:tcPr>
          <w:p>
            <w:pPr>
              <w:spacing w:after="0" w:line="240"/>
              <w:jc w:val="left"/>
            </w:pP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5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120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7</w:t>
      </w:r>
    </w:p>
    <w:p>
      <w:pPr>
        <w:spacing w:after="260"/>
        <w:jc w:val="center"/>
      </w:pPr>
      <w:r>
        <w:rPr>
          <w:rFonts w:ascii="Calibri" w:cs="Calibri" w:eastAsia="Calibri" w:hAnsi="Calibri"/>
          <w:i/>
          <w:iCs/>
          <w:color w:val="6E7480"/>
          <w:sz w:val="19"/>
          <w:szCs w:val="19"/>
        </w:rPr>
        <w:t xml:space="preserve">Register of Renewed and Duplicate Share Certificates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601"/>
        <w:gridCol w:w="1954"/>
        <w:gridCol w:w="1052"/>
        <w:gridCol w:w="2406"/>
        <w:gridCol w:w="2857"/>
        <w:gridCol w:w="2406"/>
        <w:gridCol w:w="1353"/>
        <w:gridCol w:w="1353"/>
        <w:gridCol w:w="1056"/>
      </w:tblGrid>
      <w:tr>
        <w:trPr>
          <w:tblHeader/>
        </w:trPr>
        <w:tc>
          <w:tcPr>
            <w:tcW w:type="dxa" w:w="60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19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member</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Folio no.</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Original certificate no. and distinctive nos.</w:t>
            </w:r>
          </w:p>
        </w:tc>
        <w:tc>
          <w:tcPr>
            <w:tcW w:type="dxa" w:w="285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 — renewed, duplicate, split or consolidated</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New certificate no. and distinctive nos.</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issue</w:t>
            </w:r>
          </w:p>
        </w:tc>
        <w:tc>
          <w:tcPr>
            <w:tcW w:type="dxa" w:w="135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Board resolution date</w:t>
            </w:r>
          </w:p>
        </w:tc>
        <w:tc>
          <w:tcPr>
            <w:tcW w:type="dxa" w:w="10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Signature of the person authorised</w:t>
            </w: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r>
              <w:rPr>
                <w:rFonts w:ascii="Calibri" w:cs="Calibri" w:eastAsia="Calibri" w:hAnsi="Calibri"/>
                <w:sz w:val="15"/>
                <w:szCs w:val="15"/>
              </w:rPr>
              <w:t xml:space="preserve">; </w:t>
            </w:r>
            <w:r>
              <w:rPr>
                <w:rFonts w:ascii="Calibri" w:cs="Calibri" w:eastAsia="Calibri" w:hAnsi="Calibri"/>
                <w:b/>
                <w:bCs/>
                <w:sz w:val="15"/>
                <w:szCs w:val="15"/>
              </w:rPr>
              <w:t xml:space="preserve">[RANGE]</w:t>
            </w:r>
          </w:p>
        </w:tc>
        <w:tc>
          <w:tcPr>
            <w:tcW w:type="dxa" w:w="285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r>
              <w:rPr>
                <w:rFonts w:ascii="Calibri" w:cs="Calibri" w:eastAsia="Calibri" w:hAnsi="Calibri"/>
                <w:sz w:val="15"/>
                <w:szCs w:val="15"/>
              </w:rPr>
              <w:t xml:space="preserve">; </w:t>
            </w:r>
            <w:r>
              <w:rPr>
                <w:rFonts w:ascii="Calibri" w:cs="Calibri" w:eastAsia="Calibri" w:hAnsi="Calibri"/>
                <w:b/>
                <w:bCs/>
                <w:sz w:val="15"/>
                <w:szCs w:val="15"/>
              </w:rPr>
              <w:t xml:space="preserve">[RANGE]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6"/>
            <w:tcMar>
              <w:top w:type="dxa" w:w="70"/>
              <w:left w:type="dxa" w:w="100"/>
              <w:bottom w:type="dxa" w:w="70"/>
              <w:right w:type="dxa" w:w="100"/>
            </w:tcMar>
            <w:vAlign w:val="center"/>
          </w:tcPr>
          <w:p>
            <w:pPr>
              <w:spacing w:after="0" w:line="240"/>
              <w:jc w:val="left"/>
            </w:pPr>
          </w:p>
        </w:tc>
      </w:tr>
      <w:tr>
        <w:tc>
          <w:tcPr>
            <w:tcW w:type="dxa" w:w="60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2</w:t>
            </w:r>
          </w:p>
        </w:tc>
        <w:tc>
          <w:tcPr>
            <w:tcW w:type="dxa" w:w="19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r>
              <w:rPr>
                <w:rFonts w:ascii="Calibri" w:cs="Calibri" w:eastAsia="Calibri" w:hAnsi="Calibri"/>
                <w:sz w:val="15"/>
                <w:szCs w:val="15"/>
              </w:rPr>
              <w:t xml:space="preserve">; </w:t>
            </w:r>
            <w:r>
              <w:rPr>
                <w:rFonts w:ascii="Calibri" w:cs="Calibri" w:eastAsia="Calibri" w:hAnsi="Calibri"/>
                <w:b/>
                <w:bCs/>
                <w:sz w:val="15"/>
                <w:szCs w:val="15"/>
              </w:rPr>
              <w:t xml:space="preserve">[RANGE]</w:t>
            </w:r>
          </w:p>
        </w:tc>
        <w:tc>
          <w:tcPr>
            <w:tcW w:type="dxa" w:w="2857"/>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[REASON]</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[NO.]</w:t>
            </w:r>
            <w:r>
              <w:rPr>
                <w:rFonts w:ascii="Calibri" w:cs="Calibri" w:eastAsia="Calibri" w:hAnsi="Calibri"/>
                <w:sz w:val="15"/>
                <w:szCs w:val="15"/>
              </w:rPr>
              <w:t xml:space="preserve">; </w:t>
            </w:r>
            <w:r>
              <w:rPr>
                <w:rFonts w:ascii="Calibri" w:cs="Calibri" w:eastAsia="Calibri" w:hAnsi="Calibri"/>
                <w:b/>
                <w:bCs/>
                <w:sz w:val="15"/>
                <w:szCs w:val="15"/>
              </w:rPr>
              <w:t xml:space="preserve">[RANGE]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35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056"/>
            <w:tcMar>
              <w:top w:type="dxa" w:w="70"/>
              <w:left w:type="dxa" w:w="100"/>
              <w:bottom w:type="dxa" w:w="70"/>
              <w:right w:type="dxa" w:w="100"/>
            </w:tcMar>
            <w:vAlign w:val="center"/>
          </w:tcPr>
          <w:p>
            <w:pPr>
              <w:spacing w:after="0" w:line="240"/>
              <w:jc w:val="left"/>
            </w:pPr>
          </w:p>
        </w:tc>
      </w:tr>
    </w:tbl>
    <w:p>
      <w:pPr>
        <w:spacing w:after="180"/>
      </w:pPr>
    </w:p>
    <w:p>
      <w:pPr>
        <w:spacing w:after="60" w:before="240"/>
        <w:jc w:val="center"/>
      </w:pPr>
      <w:r>
        <w:rPr>
          <w:rFonts w:ascii="Calibri" w:cs="Calibri" w:eastAsia="Calibri" w:hAnsi="Calibri"/>
          <w:b/>
          <w:bCs/>
          <w:color w:val="14161B"/>
          <w:spacing w:val="12"/>
          <w:sz w:val="28"/>
          <w:szCs w:val="28"/>
        </w:rPr>
        <w:t xml:space="preserve">REGISTER 8</w:t>
      </w:r>
    </w:p>
    <w:p>
      <w:pPr>
        <w:spacing w:after="260"/>
        <w:jc w:val="center"/>
      </w:pPr>
      <w:r>
        <w:rPr>
          <w:rFonts w:ascii="Calibri" w:cs="Calibri" w:eastAsia="Calibri" w:hAnsi="Calibri"/>
          <w:i/>
          <w:iCs/>
          <w:color w:val="6E7480"/>
          <w:sz w:val="19"/>
          <w:szCs w:val="19"/>
        </w:rPr>
        <w:t xml:space="preserve">Register of Significant Beneficial Owners</w:t>
      </w:r>
    </w:p>
    <w:tbl>
      <w:tblPr>
        <w:tblW w:type="dxa" w:w="15038"/>
        <w:tblBorders>
          <w:top w:val="single" w:color="B9BEC8" w:sz="4"/>
          <w:left w:val="single" w:color="B9BEC8" w:sz="4"/>
          <w:bottom w:val="single" w:color="B9BEC8" w:sz="4"/>
          <w:right w:val="single" w:color="B9BEC8" w:sz="4"/>
          <w:insideH w:val="single" w:color="D3D7DF" w:sz="2"/>
          <w:insideV w:val="single" w:color="D3D7DF" w:sz="2"/>
        </w:tblBorders>
      </w:tblPr>
      <w:tblGrid>
        <w:gridCol w:w="451"/>
        <w:gridCol w:w="2105"/>
        <w:gridCol w:w="1804"/>
        <w:gridCol w:w="1203"/>
        <w:gridCol w:w="1052"/>
        <w:gridCol w:w="1203"/>
        <w:gridCol w:w="2406"/>
        <w:gridCol w:w="1654"/>
        <w:gridCol w:w="1203"/>
        <w:gridCol w:w="1203"/>
        <w:gridCol w:w="754"/>
      </w:tblGrid>
      <w:tr>
        <w:trPr>
          <w:tblHeader/>
        </w:trPr>
        <w:tc>
          <w:tcPr>
            <w:tcW w:type="dxa" w:w="45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w:t>
            </w:r>
          </w:p>
        </w:tc>
        <w:tc>
          <w:tcPr>
            <w:tcW w:type="dxa" w:w="210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 of the significant beneficial owner</w:t>
            </w:r>
          </w:p>
        </w:tc>
        <w:tc>
          <w:tcPr>
            <w:tcW w:type="dxa" w:w="18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Nationality</w:t>
            </w:r>
          </w:p>
        </w:tc>
        <w:tc>
          <w:tcPr>
            <w:tcW w:type="dxa" w:w="10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birth</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PAN or passport</w:t>
            </w:r>
          </w:p>
        </w:tc>
        <w:tc>
          <w:tcPr>
            <w:tcW w:type="dxa" w:w="240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Nature and extent of the beneficial interest</w:t>
            </w:r>
          </w:p>
        </w:tc>
        <w:tc>
          <w:tcPr>
            <w:tcW w:type="dxa" w:w="16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becoming a significant beneficial owner</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declaration received</w:t>
            </w:r>
          </w:p>
        </w:tc>
        <w:tc>
          <w:tcPr>
            <w:tcW w:type="dxa" w:w="120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filing with the Registrar</w:t>
            </w:r>
          </w:p>
        </w:tc>
        <w:tc>
          <w:tcPr>
            <w:tcW w:type="dxa" w:w="7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of cessation</w:t>
            </w:r>
          </w:p>
        </w:tc>
      </w:tr>
      <w:tr>
        <w:tc>
          <w:tcPr>
            <w:tcW w:type="dxa" w:w="451"/>
            <w:tcMar>
              <w:top w:type="dxa" w:w="70"/>
              <w:left w:type="dxa" w:w="100"/>
              <w:bottom w:type="dxa" w:w="70"/>
              <w:right w:type="dxa" w:w="100"/>
            </w:tcMar>
            <w:vAlign w:val="center"/>
          </w:tcPr>
          <w:p>
            <w:pPr>
              <w:spacing w:after="0" w:line="240"/>
              <w:jc w:val="left"/>
            </w:pPr>
            <w:r>
              <w:rPr>
                <w:rFonts w:ascii="Calibri" w:cs="Calibri" w:eastAsia="Calibri" w:hAnsi="Calibri"/>
                <w:sz w:val="15"/>
                <w:szCs w:val="15"/>
              </w:rPr>
              <w:t xml:space="preserve">1</w:t>
            </w:r>
          </w:p>
        </w:tc>
        <w:tc>
          <w:tcPr>
            <w:tcW w:type="dxa" w:w="2105"/>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[NAME]</w:t>
            </w:r>
          </w:p>
        </w:tc>
        <w:tc>
          <w:tcPr>
            <w:tcW w:type="dxa" w:w="180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[ADDRESS]</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[NATIONALITY]</w:t>
            </w:r>
          </w:p>
        </w:tc>
        <w:tc>
          <w:tcPr>
            <w:tcW w:type="dxa" w:w="1052"/>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[NUMBER]</w:t>
            </w:r>
          </w:p>
        </w:tc>
        <w:tc>
          <w:tcPr>
            <w:tcW w:type="dxa" w:w="2406"/>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[DESCRIPTION AND PERCENTAGE]</w:t>
            </w:r>
          </w:p>
        </w:tc>
        <w:tc>
          <w:tcPr>
            <w:tcW w:type="dxa" w:w="16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1203"/>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w:t>
            </w:r>
          </w:p>
        </w:tc>
        <w:tc>
          <w:tcPr>
            <w:tcW w:type="dxa" w:w="754"/>
            <w:tcMar>
              <w:top w:type="dxa" w:w="70"/>
              <w:left w:type="dxa" w:w="100"/>
              <w:bottom w:type="dxa" w:w="70"/>
              <w:right w:type="dxa" w:w="100"/>
            </w:tcMar>
            <w:vAlign w:val="center"/>
          </w:tcPr>
          <w:p>
            <w:pPr>
              <w:spacing w:after="0" w:line="240"/>
              <w:jc w:val="left"/>
            </w:pPr>
            <w:r>
              <w:rPr>
                <w:rFonts w:ascii="Calibri" w:cs="Calibri" w:eastAsia="Calibri" w:hAnsi="Calibri"/>
                <w:b/>
                <w:bCs/>
                <w:sz w:val="15"/>
                <w:szCs w:val="15"/>
              </w:rPr>
              <w:t xml:space="preserve">[DATE / —]</w:t>
            </w:r>
          </w:p>
        </w:tc>
      </w:tr>
    </w:tbl>
    <w:p>
      <w:pPr>
        <w:sectPr>
          <w:footerReference w:type="default" r:id="rId11"/>
          <w:footerReference w:type="first" r:id="rId12"/>
          <w:pgSz w:w="16838" w:h="11906" w:orient="landscape"/>
          <w:pgMar w:top="900" w:right="900" w:bottom="900" w:left="900" w:header="708" w:footer="708" w:gutter="0"/>
          <w:pgNumType/>
          <w:titlePg w:val="false"/>
          <w:docGrid w:linePitch="360"/>
        </w:sectPr>
      </w:pPr>
    </w:p>
    <w:p>
      <w:pPr>
        <w:spacing w:after="60" w:before="240"/>
        <w:jc w:val="center"/>
      </w:pPr>
      <w:r>
        <w:rPr>
          <w:rFonts w:ascii="Calibri" w:cs="Calibri" w:eastAsia="Calibri" w:hAnsi="Calibri"/>
          <w:b/>
          <w:bCs/>
          <w:color w:val="14161B"/>
          <w:spacing w:val="12"/>
          <w:sz w:val="28"/>
          <w:szCs w:val="28"/>
        </w:rPr>
        <w:t xml:space="preserve">MAINTENANCE CHECKLIST</w:t>
      </w:r>
    </w:p>
    <w:p>
      <w:pPr>
        <w:spacing w:after="260"/>
        <w:jc w:val="center"/>
      </w:pPr>
      <w:r>
        <w:rPr>
          <w:rFonts w:ascii="Calibri" w:cs="Calibri" w:eastAsia="Calibri" w:hAnsi="Calibri"/>
          <w:i/>
          <w:iCs/>
          <w:color w:val="6E7480"/>
          <w:sz w:val="19"/>
          <w:szCs w:val="19"/>
        </w:rPr>
        <w:t xml:space="preserve">Review at the first Board meeting of each financial year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975"/>
        <w:gridCol w:w="963"/>
        <w:gridCol w:w="2219"/>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59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Check</w:t>
            </w:r>
          </w:p>
        </w:tc>
        <w:tc>
          <w:tcPr>
            <w:tcW w:type="dxa" w:w="96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Position</w:t>
            </w:r>
          </w:p>
        </w:tc>
        <w:tc>
          <w:tcPr>
            <w:tcW w:type="dxa" w:w="22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 required</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every applicable register maintained, and every inapplicable one recorded as such with the reason?</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 the registers kept at the registered office, or at another place authorised by a special resolution with the required filing made?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Where registers are kept in electronic form, are the prescribed safeguards in place — access control, back-up, audit trail and retrievability?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register of members reconcile to the returns of allotment filed and to the capitalisation table?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all transfers and transmissions been entered, with the transfer deeds retained and duly stamped?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all appointments and cessations of directors and key managerial personnel been entered, with the filings made?</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7</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register of charges reflect every charge created, modified and satisfied, and has every satisfaction been filed?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8</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Has the register of contracts been placed before the Board at each meeting and signed by the directors present?</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9</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Does the register of employee stock options reconcile to the grant letters issued and to the pool authorised?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10</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declarations been sought and received from every member holding above the prescribed threshold in respect of significant beneficial ownership?</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11</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 the minute books separate for the Board, general meetings and each committee, with pages numbered and minutes signed?</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12</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Are the registers indexed where an index is required, and available for inspection during business hours?</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13</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Is a person named as responsible for maintaining the registers, and has that responsibility been transferred on any change of company secretary?</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14</w:t>
            </w:r>
          </w:p>
        </w:tc>
        <w:tc>
          <w:tcPr>
            <w:tcW w:type="dxa" w:w="5975"/>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Have the registers been reviewed against the filings made with the Registrar during the year?</w:t>
            </w:r>
          </w:p>
        </w:tc>
        <w:tc>
          <w:tcPr>
            <w:tcW w:type="dxa" w:w="96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c>
          <w:tcPr>
            <w:tcW w:type="dxa" w:w="221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[ACTION]</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These are permanent records, and they are checked</w:t>
      </w:r>
    </w:p>
    <w:p>
      <w:pPr>
        <w:spacing w:after="60" w:line="264"/>
        <w:jc w:val="both"/>
      </w:pPr>
      <w:r>
        <w:rPr>
          <w:rFonts w:ascii="Calibri" w:cs="Calibri" w:eastAsia="Calibri" w:hAnsi="Calibri"/>
          <w:sz w:val="19"/>
          <w:szCs w:val="19"/>
        </w:rPr>
        <w:t xml:space="preserve">The register of members, the register of directors, the register of charges, the register of contracts and the minute books are permanent. Diligence asks for them early, and the finding is rarely that an entry is wrong — it is that the register was written up in a single sitting shortly before the diligence began, which is apparent from the handwriting, the ink and the absence of contemporaneous signatures. Maintain them as events occur.</w:t>
      </w:r>
    </w:p>
    <w:p>
      <w:pPr>
        <w:keepNext/>
        <w:spacing w:after="40" w:before="140"/>
      </w:pPr>
      <w:r>
        <w:rPr>
          <w:rFonts w:ascii="Calibri" w:cs="Calibri" w:eastAsia="Calibri" w:hAnsi="Calibri"/>
          <w:b/>
          <w:bCs/>
          <w:color w:val="14161B"/>
          <w:sz w:val="20"/>
          <w:szCs w:val="20"/>
        </w:rPr>
        <w:t xml:space="preserve">Where they are kept</w:t>
      </w:r>
    </w:p>
    <w:p>
      <w:pPr>
        <w:spacing w:after="60" w:line="264"/>
        <w:jc w:val="both"/>
      </w:pPr>
      <w:r>
        <w:rPr>
          <w:rFonts w:ascii="Calibri" w:cs="Calibri" w:eastAsia="Calibri" w:hAnsi="Calibri"/>
          <w:sz w:val="19"/>
          <w:szCs w:val="19"/>
        </w:rPr>
        <w:t xml:space="preserve">Registers must be kept at the registered office unless the members have authorised another place by special resolution, in which case a filing is required. A company that keeps its registers at its accountant’s office without that authorisation is in default, and it is a default that is easy to identify and easy to avoid.</w:t>
      </w:r>
    </w:p>
    <w:p>
      <w:pPr>
        <w:keepNext/>
        <w:spacing w:after="40" w:before="140"/>
      </w:pPr>
      <w:r>
        <w:rPr>
          <w:rFonts w:ascii="Calibri" w:cs="Calibri" w:eastAsia="Calibri" w:hAnsi="Calibri"/>
          <w:b/>
          <w:bCs/>
          <w:color w:val="14161B"/>
          <w:sz w:val="20"/>
          <w:szCs w:val="20"/>
        </w:rPr>
        <w:t xml:space="preserve">Electronic maintenance is permitted but conditional</w:t>
      </w:r>
    </w:p>
    <w:p>
      <w:pPr>
        <w:spacing w:after="60" w:line="264"/>
        <w:jc w:val="both"/>
      </w:pPr>
      <w:r>
        <w:rPr>
          <w:rFonts w:ascii="Calibri" w:cs="Calibri" w:eastAsia="Calibri" w:hAnsi="Calibri"/>
          <w:sz w:val="19"/>
          <w:szCs w:val="19"/>
        </w:rPr>
        <w:t xml:space="preserve">Registers may be kept in electronic form subject to prescribed safeguards, including access control, backup, an audit trail and the ability to retrieve and produce the record. A spreadsheet on a shared drive with no version control does not meet the standard. Where electronic form is used, record the decision and the safeguards.</w:t>
      </w:r>
    </w:p>
    <w:p>
      <w:pPr>
        <w:keepNext/>
        <w:spacing w:after="40" w:before="140"/>
      </w:pPr>
      <w:r>
        <w:rPr>
          <w:rFonts w:ascii="Calibri" w:cs="Calibri" w:eastAsia="Calibri" w:hAnsi="Calibri"/>
          <w:b/>
          <w:bCs/>
          <w:color w:val="14161B"/>
          <w:sz w:val="20"/>
          <w:szCs w:val="20"/>
        </w:rPr>
        <w:t xml:space="preserve">Reconcile the register of members against the filings</w:t>
      </w:r>
    </w:p>
    <w:p>
      <w:pPr>
        <w:spacing w:after="60" w:line="264"/>
        <w:jc w:val="both"/>
      </w:pPr>
      <w:r>
        <w:rPr>
          <w:rFonts w:ascii="Calibri" w:cs="Calibri" w:eastAsia="Calibri" w:hAnsi="Calibri"/>
          <w:sz w:val="19"/>
          <w:szCs w:val="19"/>
        </w:rPr>
        <w:t xml:space="preserve">The register, the returns of allotment filed with the Registrar, and the capitalisation table should agree. In practice they frequently do not, usually because an allotment or a transfer was effected and never recorded, or recorded and never filed. Check item 4 of the checklist annually rather than discovering the discrepancy during a transaction.</w:t>
      </w:r>
    </w:p>
    <w:p>
      <w:pPr>
        <w:keepNext/>
        <w:spacing w:after="40" w:before="140"/>
      </w:pPr>
      <w:r>
        <w:rPr>
          <w:rFonts w:ascii="Calibri" w:cs="Calibri" w:eastAsia="Calibri" w:hAnsi="Calibri"/>
          <w:b/>
          <w:bCs/>
          <w:color w:val="14161B"/>
          <w:sz w:val="20"/>
          <w:szCs w:val="20"/>
        </w:rPr>
        <w:t xml:space="preserve">The register of charges outlives the loan</w:t>
      </w:r>
    </w:p>
    <w:p>
      <w:pPr>
        <w:spacing w:after="60" w:line="264"/>
        <w:jc w:val="both"/>
      </w:pPr>
      <w:r>
        <w:rPr>
          <w:rFonts w:ascii="Calibri" w:cs="Calibri" w:eastAsia="Calibri" w:hAnsi="Calibri"/>
          <w:sz w:val="19"/>
          <w:szCs w:val="19"/>
        </w:rPr>
        <w:t xml:space="preserve">Charges are routinely created and registered, the loan repaid, and the satisfaction never filed. The charge then appears in every subsequent search as a subsisting encumbrance, and clearing it years later requires a no-objection letter from a lender whose file has been archived. Obtain the letter at repayment and file the satisfaction immediately.</w:t>
      </w:r>
    </w:p>
    <w:p>
      <w:pPr>
        <w:keepNext/>
        <w:spacing w:after="40" w:before="140"/>
      </w:pPr>
      <w:r>
        <w:rPr>
          <w:rFonts w:ascii="Calibri" w:cs="Calibri" w:eastAsia="Calibri" w:hAnsi="Calibri"/>
          <w:b/>
          <w:bCs/>
          <w:color w:val="14161B"/>
          <w:sz w:val="20"/>
          <w:szCs w:val="20"/>
        </w:rPr>
        <w:t xml:space="preserve">The register of contracts must be signed at the meeting</w:t>
      </w:r>
    </w:p>
    <w:p>
      <w:pPr>
        <w:spacing w:after="60" w:line="264"/>
        <w:jc w:val="both"/>
      </w:pPr>
      <w:r>
        <w:rPr>
          <w:rFonts w:ascii="Calibri" w:cs="Calibri" w:eastAsia="Calibri" w:hAnsi="Calibri"/>
          <w:sz w:val="19"/>
          <w:szCs w:val="19"/>
        </w:rPr>
        <w:t xml:space="preserve">It is not enough to maintain it. It must be placed before the next Board meeting and signed by the directors present. A register maintained but never placed before the Board fails the requirement, and the omission is visible because there are no signatures.</w:t>
      </w:r>
    </w:p>
    <w:p>
      <w:pPr>
        <w:keepNext/>
        <w:spacing w:after="40" w:before="140"/>
      </w:pPr>
      <w:r>
        <w:rPr>
          <w:rFonts w:ascii="Calibri" w:cs="Calibri" w:eastAsia="Calibri" w:hAnsi="Calibri"/>
          <w:b/>
          <w:bCs/>
          <w:color w:val="14161B"/>
          <w:sz w:val="20"/>
          <w:szCs w:val="20"/>
        </w:rPr>
        <w:t xml:space="preserve">Significant beneficial ownership</w:t>
      </w:r>
    </w:p>
    <w:p>
      <w:pPr>
        <w:spacing w:after="60" w:line="264"/>
        <w:jc w:val="both"/>
      </w:pPr>
      <w:r>
        <w:rPr>
          <w:rFonts w:ascii="Calibri" w:cs="Calibri" w:eastAsia="Calibri" w:hAnsi="Calibri"/>
          <w:sz w:val="19"/>
          <w:szCs w:val="19"/>
        </w:rPr>
        <w:t xml:space="preserve">The obligation is on the company to seek declarations from members holding above the prescribed threshold, and on the beneficial owner to declare. Companies with layered ownership through trusts, partnerships or overseas holding structures frequently assume the requirement does not apply to them. It usually does. Send the notices, retain the responses, and file where a declaration is received.</w:t>
      </w:r>
    </w:p>
    <w:p>
      <w:pPr>
        <w:keepNext/>
        <w:spacing w:after="40" w:before="140"/>
      </w:pPr>
      <w:r>
        <w:rPr>
          <w:rFonts w:ascii="Calibri" w:cs="Calibri" w:eastAsia="Calibri" w:hAnsi="Calibri"/>
          <w:b/>
          <w:bCs/>
          <w:color w:val="14161B"/>
          <w:sz w:val="20"/>
          <w:szCs w:val="20"/>
        </w:rPr>
        <w:t xml:space="preserve">The option register is the one that breaks first</w:t>
      </w:r>
    </w:p>
    <w:p>
      <w:pPr>
        <w:spacing w:after="60" w:line="264"/>
        <w:jc w:val="both"/>
      </w:pPr>
      <w:r>
        <w:rPr>
          <w:rFonts w:ascii="Calibri" w:cs="Calibri" w:eastAsia="Calibri" w:hAnsi="Calibri"/>
          <w:sz w:val="19"/>
          <w:szCs w:val="19"/>
        </w:rPr>
        <w:t xml:space="preserve">Grants, vesting, exercises, lapses and returns to the pool all have to be recorded, and the total must reconcile to the pool authorised. Companies that track options in a spreadsheet maintained by whoever last held the role discover, typically during a fundraise, that more options have been granted than were authorised. Reconcile quarterly.</w:t>
      </w:r>
    </w:p>
    <w:p>
      <w:pPr>
        <w:keepNext/>
        <w:spacing w:after="40" w:before="140"/>
      </w:pPr>
      <w:r>
        <w:rPr>
          <w:rFonts w:ascii="Calibri" w:cs="Calibri" w:eastAsia="Calibri" w:hAnsi="Calibri"/>
          <w:b/>
          <w:bCs/>
          <w:color w:val="14161B"/>
          <w:sz w:val="20"/>
          <w:szCs w:val="20"/>
        </w:rPr>
        <w:t xml:space="preserve">Separate minute books</w:t>
      </w:r>
    </w:p>
    <w:p>
      <w:pPr>
        <w:spacing w:after="60" w:line="264"/>
        <w:jc w:val="both"/>
      </w:pPr>
      <w:r>
        <w:rPr>
          <w:rFonts w:ascii="Calibri" w:cs="Calibri" w:eastAsia="Calibri" w:hAnsi="Calibri"/>
          <w:sz w:val="19"/>
          <w:szCs w:val="19"/>
        </w:rPr>
        <w:t xml:space="preserve">Board minutes, general meeting minutes and each committee’s minutes must be maintained separately. Combining them is a defect. Where minutes are maintained in loose-leaf form, they must be bound within the period prescribed; pasting minutes into a bound book is not permitted.</w:t>
      </w:r>
    </w:p>
    <w:p>
      <w:pPr>
        <w:keepNext/>
        <w:spacing w:after="40" w:before="140"/>
      </w:pPr>
      <w:r>
        <w:rPr>
          <w:rFonts w:ascii="Calibri" w:cs="Calibri" w:eastAsia="Calibri" w:hAnsi="Calibri"/>
          <w:b/>
          <w:bCs/>
          <w:color w:val="14161B"/>
          <w:sz w:val="20"/>
          <w:szCs w:val="20"/>
        </w:rPr>
        <w:t xml:space="preserve">Inspection rights are real</w:t>
      </w:r>
    </w:p>
    <w:p>
      <w:pPr>
        <w:spacing w:after="60" w:line="264"/>
        <w:jc w:val="both"/>
      </w:pPr>
      <w:r>
        <w:rPr>
          <w:rFonts w:ascii="Calibri" w:cs="Calibri" w:eastAsia="Calibri" w:hAnsi="Calibri"/>
          <w:sz w:val="19"/>
          <w:szCs w:val="19"/>
        </w:rPr>
        <w:t xml:space="preserve">Members are entitled to inspect several of these registers during business hours, in some cases free of charge, and to take extracts. Refusing or obstructing inspection is itself a default. Where a shareholder dispute is developing, an inspection request is a common early step, and the state of the registers becomes evidence.</w:t>
      </w:r>
    </w:p>
    <w:p>
      <w:pPr>
        <w:keepNext/>
        <w:spacing w:after="40" w:before="140"/>
      </w:pPr>
      <w:r>
        <w:rPr>
          <w:rFonts w:ascii="Calibri" w:cs="Calibri" w:eastAsia="Calibri" w:hAnsi="Calibri"/>
          <w:b/>
          <w:bCs/>
          <w:color w:val="14161B"/>
          <w:sz w:val="20"/>
          <w:szCs w:val="20"/>
        </w:rPr>
        <w:t xml:space="preserve">Name someone responsible</w:t>
      </w:r>
    </w:p>
    <w:p>
      <w:pPr>
        <w:spacing w:after="60" w:line="264"/>
        <w:jc w:val="both"/>
      </w:pPr>
      <w:r>
        <w:rPr>
          <w:rFonts w:ascii="Calibri" w:cs="Calibri" w:eastAsia="Calibri" w:hAnsi="Calibri"/>
          <w:sz w:val="19"/>
          <w:szCs w:val="19"/>
        </w:rPr>
        <w:t xml:space="preserve">Item 13 of the checklist exists because register maintenance is the first thing to lapse when a company secretary leaves. Record who is responsible, and hand over the registers formally, with a signed record of their state at the date of handover.</w:t>
      </w:r>
    </w:p>
    <w:p>
      <w:pPr>
        <w:keepNext/>
        <w:spacing w:after="40" w:before="140"/>
      </w:pPr>
      <w:r>
        <w:rPr>
          <w:rFonts w:ascii="Calibri" w:cs="Calibri" w:eastAsia="Calibri" w:hAnsi="Calibri"/>
          <w:b/>
          <w:bCs/>
          <w:color w:val="14161B"/>
          <w:sz w:val="20"/>
          <w:szCs w:val="20"/>
        </w:rPr>
        <w:t xml:space="preserve">Retention</w:t>
      </w:r>
    </w:p>
    <w:p>
      <w:pPr>
        <w:spacing w:after="60" w:line="264"/>
        <w:jc w:val="both"/>
      </w:pPr>
      <w:r>
        <w:rPr>
          <w:rFonts w:ascii="Calibri" w:cs="Calibri" w:eastAsia="Calibri" w:hAnsi="Calibri"/>
          <w:sz w:val="19"/>
          <w:szCs w:val="19"/>
        </w:rPr>
        <w:t xml:space="preserve">Books of account and supporting vouchers must be retained for the period prescribed, and longer where an investigation has been ordered. Permanent registers are permanent — they should not be destroyed on a general document retention schedule, which is how they are most often lost.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prescribed forms of register, the safeguards for electronic maintenance, retention periods and inspection rights change — have the register pack reviewed by a company secretary against the current requirements, and note that these formats capture the substance required rather than reproducing any prescribed form.</w:t>
      </w:r>
    </w:p>
    <w:sectPr>
      <w:footerReference w:type="default" r:id="rId13"/>
      <w:footerReference w:type="first" r:id="rId14"/>
      <w:pgSz w:w="11906" w:h="16838" w:orient="portrait"/>
      <w:pgMar w:top="1080" w:right="1134" w:bottom="1080" w:left="1134" w:header="708" w:footer="708" w:gutter="0"/>
      <w:pgNumType/>
      <w:titlePg w:val="fals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150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er4.xml.rels><?xml version="1.0" encoding="UTF-8"?><Relationships xmlns="http://schemas.openxmlformats.org/package/2006/relationships"/>
</file>

<file path=word/_rels/footer5.xml.rels><?xml version="1.0" encoding="UTF-8"?><Relationships xmlns="http://schemas.openxmlformats.org/package/2006/relationships"/>
</file>

<file path=word/_rels/footer6.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2026-08-21T12:53:54.150Z</dcterms:created>
  <dcterms:modified xsi:type="dcterms:W3CDTF">2026-08-21T12:53:54.150Z</dcterms:modified>
</cp:coreProperties>
</file>

<file path=docProps/custom.xml><?xml version="1.0" encoding="utf-8"?>
<Properties xmlns="http://schemas.openxmlformats.org/officeDocument/2006/custom-properties" xmlns:vt="http://schemas.openxmlformats.org/officeDocument/2006/docPropsVTypes"/>
</file>