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STANDING ORDERS</w:t>
      </w:r>
    </w:p>
    <w:p>
      <w:pPr>
        <w:spacing w:after="260"/>
        <w:jc w:val="center"/>
      </w:pPr>
      <w:r>
        <w:rPr>
          <w:rFonts w:ascii="Calibri" w:cs="Calibri" w:eastAsia="Calibri" w:hAnsi="Calibri"/>
          <w:i/>
          <w:iCs/>
          <w:color w:val="6E7480"/>
          <w:sz w:val="19"/>
          <w:szCs w:val="19"/>
        </w:rPr>
        <w:t xml:space="preserve">Conditions of service for workers — draft for certification</w:t>
      </w:r>
    </w:p>
    <w:p>
      <w:pPr>
        <w:spacing w:after="180" w:before="0" w:line="276"/>
        <w:jc w:val="both"/>
      </w:pPr>
      <w:r>
        <w:rPr>
          <w:rFonts w:ascii="Calibri" w:cs="Calibri" w:eastAsia="Calibri" w:hAnsi="Calibri"/>
          <w:i/>
          <w:iCs/>
          <w:color w:val="6E7480"/>
          <w:sz w:val="21"/>
          <w:szCs w:val="21"/>
        </w:rPr>
        <w:t xml:space="preserve">Standing orders are certified conditions of service that bind an establishment once certified, and they override inconsistent contractual terms for the workers they cover. Where an establishment is required to have them, adopting the model orders or obtaining certification is not optional, and a disciplinary process that departs from certified standing orders will not stand.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084"/>
        <w:gridCol w:w="6554"/>
      </w:tblGrid>
      <w:tr>
        <w:trPr>
          <w:tblHeader/>
        </w:trPr>
        <w:tc>
          <w:tcPr>
            <w:tcW w:type="dxa" w:w="308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55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Establishment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NAME]</w:t>
            </w:r>
            <w:r>
              <w:rPr>
                <w:rFonts w:ascii="Calibri" w:cs="Calibri" w:eastAsia="Calibri" w:hAnsi="Calibri"/>
                <w:sz w:val="19"/>
                <w:szCs w:val="19"/>
              </w:rPr>
              <w:t xml:space="preserve">, </w:t>
            </w:r>
            <w:r>
              <w:rPr>
                <w:rFonts w:ascii="Calibri" w:cs="Calibri" w:eastAsia="Calibri" w:hAnsi="Calibri"/>
                <w:b/>
                <w:bCs/>
                <w:sz w:val="19"/>
                <w:szCs w:val="19"/>
              </w:rPr>
              <w:t xml:space="preserve">[ADDRESS]</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Registration number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Nature of the establishment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[DESCRIBE]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Number of workers employed</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[NUMBER]</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Applicability threshold met on</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Status</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[Draft submitted for certification on ______ / Certified on ______ / Model standing orders adopted]</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Certifying officer</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 AND OFFICE]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Effective from</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084"/>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Displayed at</w:t>
            </w:r>
          </w:p>
        </w:tc>
        <w:tc>
          <w:tcPr>
            <w:tcW w:type="dxa" w:w="655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[LOCATIONS]</w:t>
            </w:r>
            <w:r>
              <w:rPr>
                <w:rFonts w:ascii="Calibri" w:cs="Calibri" w:eastAsia="Calibri" w:hAnsi="Calibri"/>
                <w:sz w:val="19"/>
                <w:szCs w:val="19"/>
              </w:rPr>
              <w:t xml:space="preserve">, in English and in </w:t>
            </w:r>
            <w:r>
              <w:rPr>
                <w:rFonts w:ascii="Calibri" w:cs="Calibri" w:eastAsia="Calibri" w:hAnsi="Calibri"/>
                <w:b/>
                <w:bCs/>
                <w:sz w:val="19"/>
                <w:szCs w:val="19"/>
              </w:rPr>
              <w:t xml:space="preserve">[LANGUAGE]</w:t>
            </w:r>
          </w:p>
        </w:tc>
      </w:tr>
    </w:tbl>
    <w:p>
      <w:pPr>
        <w:spacing w:after="180"/>
      </w:pPr>
    </w:p>
    <w:p>
      <w:pPr>
        <w:keepNext/>
        <w:spacing w:after="120" w:before="280"/>
        <w:outlineLvl w:val="0"/>
      </w:pPr>
      <w:r>
        <w:rPr>
          <w:rFonts w:ascii="Calibri" w:cs="Calibri" w:eastAsia="Calibri" w:hAnsi="Calibri"/>
          <w:b/>
          <w:bCs/>
          <w:color w:val="14161B"/>
          <w:sz w:val="22"/>
          <w:szCs w:val="22"/>
        </w:rPr>
        <w:t xml:space="preserve">1. APPLICATION</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These standing orders apply to all workers employed in the establishment, and to the extent they are inconsistent with any contract of employment, these standing orders prevail in respect of the workers they cover.</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These standing orders do not apply to a person employed mainly in a managerial or administrative capacity, or in a supervisory capacity drawing wages above the prescribed threshold, whose conditions of service are governed by the contract of employment.</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Matters not provided for in these standing orders are governed by applicable law and by the contract of employment.</w:t>
      </w:r>
    </w:p>
    <w:p>
      <w:pPr>
        <w:keepNext/>
        <w:spacing w:after="120" w:before="280"/>
        <w:outlineLvl w:val="0"/>
      </w:pPr>
      <w:r>
        <w:rPr>
          <w:rFonts w:ascii="Calibri" w:cs="Calibri" w:eastAsia="Calibri" w:hAnsi="Calibri"/>
          <w:b/>
          <w:bCs/>
          <w:color w:val="14161B"/>
          <w:sz w:val="22"/>
          <w:szCs w:val="22"/>
        </w:rPr>
        <w:t xml:space="preserve">2. CLASSIFICATION OF WORKERS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Workers are classified as: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734"/>
        <w:gridCol w:w="7904"/>
      </w:tblGrid>
      <w:tr>
        <w:trPr>
          <w:tblHeader/>
        </w:trPr>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Class</w:t>
            </w:r>
          </w:p>
        </w:tc>
        <w:tc>
          <w:tcPr>
            <w:tcW w:type="dxa" w:w="790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Meaning</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Permanent</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who has completed the probationary period satisfactorily and has been confirmed in writing, or who has been engaged on a permanent basis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Probationer</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provisionally employed to fill a permanent vacancy and who has not completed the probationary period of </w:t>
            </w:r>
            <w:r>
              <w:rPr>
                <w:rFonts w:ascii="Calibri" w:cs="Calibri" w:eastAsia="Calibri" w:hAnsi="Calibri"/>
                <w:b/>
                <w:bCs/>
                <w:sz w:val="18"/>
                <w:szCs w:val="18"/>
              </w:rPr>
              <w:t xml:space="preserve">[NUMBER]</w:t>
            </w:r>
            <w:r>
              <w:rPr>
                <w:rFonts w:ascii="Calibri" w:cs="Calibri" w:eastAsia="Calibri" w:hAnsi="Calibri"/>
                <w:sz w:val="18"/>
                <w:szCs w:val="18"/>
              </w:rPr>
              <w:t xml:space="preserve"> months, extendable once by </w:t>
            </w:r>
            <w:r>
              <w:rPr>
                <w:rFonts w:ascii="Calibri" w:cs="Calibri" w:eastAsia="Calibri" w:hAnsi="Calibri"/>
                <w:b/>
                <w:bCs/>
                <w:sz w:val="18"/>
                <w:szCs w:val="18"/>
              </w:rPr>
              <w:t xml:space="preserve">[NUMBER]</w:t>
            </w:r>
            <w:r>
              <w:rPr>
                <w:rFonts w:ascii="Calibri" w:cs="Calibri" w:eastAsia="Calibri" w:hAnsi="Calibri"/>
                <w:sz w:val="18"/>
                <w:szCs w:val="18"/>
              </w:rPr>
              <w:t xml:space="preserve"> months by written notice stating the reason</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Fixed-term</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engaged on the basis of a written contract for a fixed period, entitled to hours of work, wages, allowances and other benefits not less than those of a permanent worker doing the same or similar work, and to statutory benefits in proportion to the period of service</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Temporary</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engaged for work of an essentially temporary nature likely to be completed within a limited period</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Casual</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engaged on a casual basis</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Apprentice</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learner engaged under the applicable apprenticeship framework</w:t>
            </w:r>
          </w:p>
        </w:tc>
      </w:tr>
      <w:tr>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Substitute</w:t>
            </w:r>
          </w:p>
        </w:tc>
        <w:tc>
          <w:tcPr>
            <w:tcW w:type="dxa" w:w="7904"/>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 worker engaged in the place of a permanent worker or probationer temporarily absent</w:t>
            </w: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Every worker shall be issued a letter of appointment on or before the date of joining, containing the particulars prescribed, and shall be told the class in which the worker is employed.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 fixed-term worker shall not be engaged for work of a permanent nature merely to deny the benefits of permanent employment, and successive fixed-term contracts shall not be used for that purpose.</w:t>
      </w:r>
    </w:p>
    <w:p>
      <w:pPr>
        <w:keepNext/>
        <w:spacing w:after="120" w:before="280"/>
        <w:outlineLvl w:val="0"/>
      </w:pPr>
      <w:r>
        <w:rPr>
          <w:rFonts w:ascii="Calibri" w:cs="Calibri" w:eastAsia="Calibri" w:hAnsi="Calibri"/>
          <w:b/>
          <w:bCs/>
          <w:color w:val="14161B"/>
          <w:sz w:val="22"/>
          <w:szCs w:val="22"/>
        </w:rPr>
        <w:t xml:space="preserve">3. HOURS, ATTENDANCE AND WAGES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The hours of work, the interval for rest, the weekly day of rest and the spreadover shall be as displayed on the notice board and shall comply with applicable law.</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Workers shall attend during the hours notified and shall record attendance in the manner prescribed. A worker attending more than </w:t>
      </w:r>
      <w:r>
        <w:rPr>
          <w:rFonts w:ascii="Calibri" w:cs="Calibri" w:eastAsia="Calibri" w:hAnsi="Calibri"/>
          <w:b/>
          <w:bCs/>
          <w:sz w:val="21"/>
          <w:szCs w:val="21"/>
        </w:rPr>
        <w:t xml:space="preserve">[NUMBER]</w:t>
      </w:r>
      <w:r>
        <w:rPr>
          <w:rFonts w:ascii="Calibri" w:cs="Calibri" w:eastAsia="Calibri" w:hAnsi="Calibri"/>
          <w:sz w:val="21"/>
          <w:szCs w:val="21"/>
        </w:rPr>
        <w:t xml:space="preserve"> minutes late without sufficient cause may be treated as absent for the period.</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sz w:val="21"/>
          <w:szCs w:val="21"/>
        </w:rPr>
        <w:t xml:space="preserve">Wages shall be paid within the period required by law, and in any event by the </w:t>
      </w:r>
      <w:r>
        <w:rPr>
          <w:rFonts w:ascii="Calibri" w:cs="Calibri" w:eastAsia="Calibri" w:hAnsi="Calibri"/>
          <w:b/>
          <w:bCs/>
          <w:sz w:val="21"/>
          <w:szCs w:val="21"/>
        </w:rPr>
        <w:t xml:space="preserve">[7th]</w:t>
      </w:r>
      <w:r>
        <w:rPr>
          <w:rFonts w:ascii="Calibri" w:cs="Calibri" w:eastAsia="Calibri" w:hAnsi="Calibri"/>
          <w:sz w:val="21"/>
          <w:szCs w:val="21"/>
        </w:rPr>
        <w:t xml:space="preserve"> day of the following wage period, by transfer to the worker’s bank account, and a wage slip in the prescribed form shall be issued.</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Overtime worked with prior authorisation shall be paid at </w:t>
      </w:r>
      <w:r>
        <w:rPr>
          <w:rFonts w:ascii="Calibri" w:cs="Calibri" w:eastAsia="Calibri" w:hAnsi="Calibri"/>
          <w:b/>
          <w:bCs/>
          <w:sz w:val="21"/>
          <w:szCs w:val="21"/>
        </w:rPr>
        <w:t xml:space="preserve">twice</w:t>
      </w:r>
      <w:r>
        <w:rPr>
          <w:rFonts w:ascii="Calibri" w:cs="Calibri" w:eastAsia="Calibri" w:hAnsi="Calibri"/>
          <w:sz w:val="21"/>
          <w:szCs w:val="21"/>
        </w:rPr>
        <w:t xml:space="preserve"> the ordinary rate of wages.</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Deductions shall be made only as permitted by law, and the aggregate of deductions in a wage period shall not exceed the prescribed ceiling.</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Wages and other amounts payable on the termination of employment for any reason shall be paid within </w:t>
      </w:r>
      <w:r>
        <w:rPr>
          <w:rFonts w:ascii="Calibri" w:cs="Calibri" w:eastAsia="Calibri" w:hAnsi="Calibri"/>
          <w:b/>
          <w:bCs/>
          <w:sz w:val="21"/>
          <w:szCs w:val="21"/>
        </w:rPr>
        <w:t xml:space="preserve">two working days</w:t>
      </w:r>
      <w:r>
        <w:rPr>
          <w:rFonts w:ascii="Calibri" w:cs="Calibri" w:eastAsia="Calibri" w:hAnsi="Calibri"/>
          <w:sz w:val="21"/>
          <w:szCs w:val="21"/>
        </w:rPr>
        <w:t xml:space="preserve"> of the termination.</w:t>
      </w:r>
    </w:p>
    <w:p>
      <w:pPr>
        <w:keepNext/>
        <w:spacing w:after="120" w:before="280"/>
        <w:outlineLvl w:val="0"/>
      </w:pPr>
      <w:r>
        <w:rPr>
          <w:rFonts w:ascii="Calibri" w:cs="Calibri" w:eastAsia="Calibri" w:hAnsi="Calibri"/>
          <w:b/>
          <w:bCs/>
          <w:color w:val="14161B"/>
          <w:sz w:val="22"/>
          <w:szCs w:val="22"/>
        </w:rPr>
        <w:t xml:space="preserve">4. LEAVE AND HOLIDAYS</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Workers shall be entitled to annual leave with wages, and to sick, casual and other leave, as provided by applicable law and as displayed on the notice board.</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Applications for leave shall be made in advance in the manner prescribed, save in case of sickness or emergency, when the worker shall inform the establishment as soon as practicable.</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Leave shall not be refused unreasonably. Where leave is refused, the reason shall be recorded and communicated to the worker.</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list of holidays shall be displayed at the beginning of each calendar year.</w:t>
      </w:r>
    </w:p>
    <w:p>
      <w:pPr>
        <w:spacing w:after="120" w:before="60" w:line="276"/>
        <w:ind w:left="720" w:hanging="720"/>
        <w:jc w:val="both"/>
      </w:pPr>
      <w:r>
        <w:rPr>
          <w:rFonts w:ascii="Calibri" w:cs="Calibri" w:eastAsia="Calibri" w:hAnsi="Calibri"/>
          <w:sz w:val="21"/>
          <w:szCs w:val="21"/>
        </w:rPr>
        <w:t xml:space="preserve">4.5	</w:t>
      </w:r>
      <w:r>
        <w:rPr>
          <w:rFonts w:ascii="Calibri" w:cs="Calibri" w:eastAsia="Calibri" w:hAnsi="Calibri"/>
          <w:sz w:val="21"/>
          <w:szCs w:val="21"/>
        </w:rPr>
        <w:t xml:space="preserve">Maternity, paternity and other statutory leave shall be granted in accordance with applicable law.</w:t>
      </w:r>
    </w:p>
    <w:p>
      <w:pPr>
        <w:keepNext/>
        <w:spacing w:after="120" w:before="280"/>
        <w:outlineLvl w:val="0"/>
      </w:pPr>
      <w:r>
        <w:rPr>
          <w:rFonts w:ascii="Calibri" w:cs="Calibri" w:eastAsia="Calibri" w:hAnsi="Calibri"/>
          <w:b/>
          <w:bCs/>
          <w:color w:val="14161B"/>
          <w:sz w:val="22"/>
          <w:szCs w:val="22"/>
        </w:rPr>
        <w:t xml:space="preserve">5. SHIFTS, TRANSFER AND STOPPAGE OF WORK</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Work may be carried on in shifts as notified. A worker shall not be required to work in more than one shift in a day except in accordance with law.</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A worker may be transferred to another department, section, shift or establishment of the same employer in the same or a similar role, without loss of wages or class, and with reasonable notice where relocation is involved.</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Where work is stopped by reason of a breakdown, power failure, shortage of material, or any cause beyond the employer’s control, the fact and the expected duration shall be notified, and the entitlement of affected workers to wages shall be determined in accordance with law.</w:t>
      </w:r>
    </w:p>
    <w:p>
      <w:pPr>
        <w:keepNext/>
        <w:spacing w:after="120" w:before="280"/>
        <w:outlineLvl w:val="0"/>
      </w:pPr>
      <w:r>
        <w:rPr>
          <w:rFonts w:ascii="Calibri" w:cs="Calibri" w:eastAsia="Calibri" w:hAnsi="Calibri"/>
          <w:b/>
          <w:bCs/>
          <w:color w:val="14161B"/>
          <w:sz w:val="22"/>
          <w:szCs w:val="22"/>
        </w:rPr>
        <w:t xml:space="preserve">6. TERMINATION AND NOTICE</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employment of a permanent worker may be terminated by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 notice in writing, or wages in lieu, on either side, save where termination is for misconduct following an inquiry under Clause 8.</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The employment of a probationer may be terminated by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 notice, or wages in lieu, without assigning a reason, provided that where the ground is misconduct the procedure in Clause 8 shall be followed.</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employment of a temporary, casual or substitute worker may be terminated in accordance with the terms of engagement.</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A fixed-term contract expires on the date stated without notice, and its expiry is not a retrenchment.</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A worker resigning shall give </w:t>
      </w:r>
      <w:r>
        <w:rPr>
          <w:rFonts w:ascii="Calibri" w:cs="Calibri" w:eastAsia="Calibri" w:hAnsi="Calibri"/>
          <w:b/>
          <w:bCs/>
          <w:sz w:val="21"/>
          <w:szCs w:val="21"/>
        </w:rPr>
        <w:t xml:space="preserve">[NUMBER]</w:t>
      </w:r>
      <w:r>
        <w:rPr>
          <w:rFonts w:ascii="Calibri" w:cs="Calibri" w:eastAsia="Calibri" w:hAnsi="Calibri"/>
          <w:sz w:val="21"/>
          <w:szCs w:val="21"/>
        </w:rPr>
        <w:t xml:space="preserve"> </w:t>
      </w:r>
      <w:r>
        <w:rPr>
          <w:rFonts w:ascii="Calibri" w:cs="Calibri" w:eastAsia="Calibri" w:hAnsi="Calibri"/>
          <w:b/>
          <w:bCs/>
          <w:sz w:val="21"/>
          <w:szCs w:val="21"/>
        </w:rPr>
        <w:t xml:space="preserve">[days’]</w:t>
      </w:r>
      <w:r>
        <w:rPr>
          <w:rFonts w:ascii="Calibri" w:cs="Calibri" w:eastAsia="Calibri" w:hAnsi="Calibri"/>
          <w:sz w:val="21"/>
          <w:szCs w:val="21"/>
        </w:rPr>
        <w:t xml:space="preserve"> notice, or wages in lieu.</w:t>
      </w:r>
    </w:p>
    <w:p>
      <w:pPr>
        <w:spacing w:after="120" w:before="60" w:line="276"/>
        <w:ind w:left="720" w:hanging="720"/>
        <w:jc w:val="both"/>
      </w:pPr>
      <w:r>
        <w:rPr>
          <w:rFonts w:ascii="Calibri" w:cs="Calibri" w:eastAsia="Calibri" w:hAnsi="Calibri"/>
          <w:sz w:val="21"/>
          <w:szCs w:val="21"/>
        </w:rPr>
        <w:t xml:space="preserve">6.6	</w:t>
      </w:r>
      <w:r>
        <w:rPr>
          <w:rFonts w:ascii="Calibri" w:cs="Calibri" w:eastAsia="Calibri" w:hAnsi="Calibri"/>
          <w:sz w:val="21"/>
          <w:szCs w:val="21"/>
        </w:rPr>
        <w:t xml:space="preserve">On termination for any reason, the worker shall be given a certificate of service stating the period and the nature of the work, and shall be relieved without the certificate or the settlement being withheld.</w:t>
      </w:r>
    </w:p>
    <w:p>
      <w:pPr>
        <w:spacing w:after="120" w:before="60" w:line="276"/>
        <w:ind w:left="720" w:hanging="720"/>
        <w:jc w:val="both"/>
      </w:pPr>
      <w:r>
        <w:rPr>
          <w:rFonts w:ascii="Calibri" w:cs="Calibri" w:eastAsia="Calibri" w:hAnsi="Calibri"/>
          <w:sz w:val="21"/>
          <w:szCs w:val="21"/>
        </w:rPr>
        <w:t xml:space="preserve">6.7	</w:t>
      </w:r>
      <w:r>
        <w:rPr>
          <w:rFonts w:ascii="Calibri" w:cs="Calibri" w:eastAsia="Calibri" w:hAnsi="Calibri"/>
          <w:sz w:val="21"/>
          <w:szCs w:val="21"/>
        </w:rPr>
        <w:t xml:space="preserve">Retrenchment, where applicable, shall be effected in accordance with the requirements of applicable law as to notice, compensation, the order of retrenchment and any prior permission required.</w:t>
      </w:r>
    </w:p>
    <w:p>
      <w:pPr>
        <w:keepNext/>
        <w:spacing w:after="120" w:before="280"/>
        <w:outlineLvl w:val="0"/>
      </w:pPr>
      <w:r>
        <w:rPr>
          <w:rFonts w:ascii="Calibri" w:cs="Calibri" w:eastAsia="Calibri" w:hAnsi="Calibri"/>
          <w:b/>
          <w:bCs/>
          <w:color w:val="14161B"/>
          <w:sz w:val="22"/>
          <w:szCs w:val="22"/>
        </w:rPr>
        <w:t xml:space="preserve">7. ACTS CONSTITUTING MISCONDUCT</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following acts constitute misconduct:</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wilful insubordination or disobedience of a lawful and reasonable order;</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theft, fraud or dishonesty in connection with the employer’s business or property;</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wilful damage to, or loss of, the employer’s goods or property;</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taking or giving a bribe or any illegal gratification;</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habitual absence without leave, or absence without leave for more than </w:t>
      </w:r>
      <w:r>
        <w:rPr>
          <w:rFonts w:ascii="Calibri" w:cs="Calibri" w:eastAsia="Calibri" w:hAnsi="Calibri"/>
          <w:b/>
          <w:bCs/>
          <w:sz w:val="21"/>
          <w:szCs w:val="21"/>
        </w:rPr>
        <w:t xml:space="preserve">[NUMBER]</w:t>
      </w:r>
      <w:r>
        <w:rPr>
          <w:rFonts w:ascii="Calibri" w:cs="Calibri" w:eastAsia="Calibri" w:hAnsi="Calibri"/>
          <w:sz w:val="21"/>
          <w:szCs w:val="21"/>
        </w:rPr>
        <w:t xml:space="preserve"> consecutive days without sufficient cause;</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sz w:val="21"/>
          <w:szCs w:val="21"/>
        </w:rPr>
        <w:t xml:space="preserve">habitual late attendance;</w:t>
      </w:r>
    </w:p>
    <w:p>
      <w:pPr>
        <w:spacing w:after="100" w:before="40" w:line="276"/>
        <w:ind w:left="1440" w:hanging="720"/>
        <w:jc w:val="both"/>
      </w:pPr>
      <w:r>
        <w:rPr>
          <w:rFonts w:ascii="Calibri" w:cs="Calibri" w:eastAsia="Calibri" w:hAnsi="Calibri"/>
          <w:sz w:val="21"/>
          <w:szCs w:val="21"/>
        </w:rPr>
        <w:t xml:space="preserve">(g)	</w:t>
      </w:r>
      <w:r>
        <w:rPr>
          <w:rFonts w:ascii="Calibri" w:cs="Calibri" w:eastAsia="Calibri" w:hAnsi="Calibri"/>
          <w:sz w:val="21"/>
          <w:szCs w:val="21"/>
        </w:rPr>
        <w:t xml:space="preserve">habitual breach of any law applicable to the establishment, or of any standing order or rule made under it;</w:t>
      </w:r>
    </w:p>
    <w:p>
      <w:pPr>
        <w:spacing w:after="100" w:before="40" w:line="276"/>
        <w:ind w:left="1440" w:hanging="720"/>
        <w:jc w:val="both"/>
      </w:pPr>
      <w:r>
        <w:rPr>
          <w:rFonts w:ascii="Calibri" w:cs="Calibri" w:eastAsia="Calibri" w:hAnsi="Calibri"/>
          <w:sz w:val="21"/>
          <w:szCs w:val="21"/>
        </w:rPr>
        <w:t xml:space="preserve">(h)	</w:t>
      </w:r>
      <w:r>
        <w:rPr>
          <w:rFonts w:ascii="Calibri" w:cs="Calibri" w:eastAsia="Calibri" w:hAnsi="Calibri"/>
          <w:sz w:val="21"/>
          <w:szCs w:val="21"/>
        </w:rPr>
        <w:t xml:space="preserve">riotous or disorderly behaviour during working hours at the establishment, or any act subversive of discipline;</w:t>
      </w:r>
    </w:p>
    <w:p>
      <w:pPr>
        <w:spacing w:after="100" w:before="40" w:line="276"/>
        <w:ind w:left="1440" w:hanging="720"/>
        <w:jc w:val="both"/>
      </w:pPr>
      <w:r>
        <w:rPr>
          <w:rFonts w:ascii="Calibri" w:cs="Calibri" w:eastAsia="Calibri" w:hAnsi="Calibri"/>
          <w:sz w:val="21"/>
          <w:szCs w:val="21"/>
        </w:rPr>
        <w:t xml:space="preserve">(i)	</w:t>
      </w:r>
      <w:r>
        <w:rPr>
          <w:rFonts w:ascii="Calibri" w:cs="Calibri" w:eastAsia="Calibri" w:hAnsi="Calibri"/>
          <w:sz w:val="21"/>
          <w:szCs w:val="21"/>
        </w:rPr>
        <w:t xml:space="preserve">habitual negligence or neglect of work;</w:t>
      </w:r>
    </w:p>
    <w:p>
      <w:pPr>
        <w:spacing w:after="100" w:before="40" w:line="276"/>
        <w:ind w:left="1440" w:hanging="720"/>
        <w:jc w:val="both"/>
      </w:pPr>
      <w:r>
        <w:rPr>
          <w:rFonts w:ascii="Calibri" w:cs="Calibri" w:eastAsia="Calibri" w:hAnsi="Calibri"/>
          <w:sz w:val="21"/>
          <w:szCs w:val="21"/>
        </w:rPr>
        <w:t xml:space="preserve">(j)	</w:t>
      </w:r>
      <w:r>
        <w:rPr>
          <w:rFonts w:ascii="Calibri" w:cs="Calibri" w:eastAsia="Calibri" w:hAnsi="Calibri"/>
          <w:sz w:val="21"/>
          <w:szCs w:val="21"/>
        </w:rPr>
        <w:t xml:space="preserve">striking work, or inciting others to strike, in contravention of law;</w:t>
      </w:r>
    </w:p>
    <w:p>
      <w:pPr>
        <w:spacing w:after="100" w:before="40" w:line="276"/>
        <w:ind w:left="1440" w:hanging="720"/>
        <w:jc w:val="both"/>
      </w:pPr>
      <w:r>
        <w:rPr>
          <w:rFonts w:ascii="Calibri" w:cs="Calibri" w:eastAsia="Calibri" w:hAnsi="Calibri"/>
          <w:sz w:val="21"/>
          <w:szCs w:val="21"/>
        </w:rPr>
        <w:t xml:space="preserve">(k)	</w:t>
      </w:r>
      <w:r>
        <w:rPr>
          <w:rFonts w:ascii="Calibri" w:cs="Calibri" w:eastAsia="Calibri" w:hAnsi="Calibri"/>
          <w:sz w:val="21"/>
          <w:szCs w:val="21"/>
        </w:rPr>
        <w:t xml:space="preserve">sexual harassment, which shall be dealt with under the policy and by the Internal Committee constituted under the applicable legislation, and any penalty recommended by that Committee shall be given effect under these standing orders;</w:t>
      </w:r>
    </w:p>
    <w:p>
      <w:pPr>
        <w:spacing w:after="100" w:before="40" w:line="276"/>
        <w:ind w:left="1440" w:hanging="720"/>
        <w:jc w:val="both"/>
      </w:pPr>
      <w:r>
        <w:rPr>
          <w:rFonts w:ascii="Calibri" w:cs="Calibri" w:eastAsia="Calibri" w:hAnsi="Calibri"/>
          <w:sz w:val="21"/>
          <w:szCs w:val="21"/>
        </w:rPr>
        <w:t xml:space="preserve">(l)	</w:t>
      </w:r>
      <w:r>
        <w:rPr>
          <w:rFonts w:ascii="Calibri" w:cs="Calibri" w:eastAsia="Calibri" w:hAnsi="Calibri"/>
          <w:sz w:val="21"/>
          <w:szCs w:val="21"/>
        </w:rPr>
        <w:t xml:space="preserve">harassment, bullying or discrimination on any ground;</w:t>
      </w:r>
    </w:p>
    <w:p>
      <w:pPr>
        <w:spacing w:after="100" w:before="40" w:line="276"/>
        <w:ind w:left="1440" w:hanging="720"/>
        <w:jc w:val="both"/>
      </w:pPr>
      <w:r>
        <w:rPr>
          <w:rFonts w:ascii="Calibri" w:cs="Calibri" w:eastAsia="Calibri" w:hAnsi="Calibri"/>
          <w:sz w:val="21"/>
          <w:szCs w:val="21"/>
        </w:rPr>
        <w:t xml:space="preserve">(m)	</w:t>
      </w:r>
      <w:r>
        <w:rPr>
          <w:rFonts w:ascii="Calibri" w:cs="Calibri" w:eastAsia="Calibri" w:hAnsi="Calibri"/>
          <w:sz w:val="21"/>
          <w:szCs w:val="21"/>
        </w:rPr>
        <w:t xml:space="preserve">attending work under the influence of alcohol or drugs;</w:t>
      </w:r>
    </w:p>
    <w:p>
      <w:pPr>
        <w:spacing w:after="100" w:before="40" w:line="276"/>
        <w:ind w:left="1440" w:hanging="720"/>
        <w:jc w:val="both"/>
      </w:pPr>
      <w:r>
        <w:rPr>
          <w:rFonts w:ascii="Calibri" w:cs="Calibri" w:eastAsia="Calibri" w:hAnsi="Calibri"/>
          <w:sz w:val="21"/>
          <w:szCs w:val="21"/>
        </w:rPr>
        <w:t xml:space="preserve">(n)	</w:t>
      </w:r>
      <w:r>
        <w:rPr>
          <w:rFonts w:ascii="Calibri" w:cs="Calibri" w:eastAsia="Calibri" w:hAnsi="Calibri"/>
          <w:sz w:val="21"/>
          <w:szCs w:val="21"/>
        </w:rPr>
        <w:t xml:space="preserve">unauthorised disclosure of confidential information of the establishment or its customers;</w:t>
      </w:r>
    </w:p>
    <w:p>
      <w:pPr>
        <w:spacing w:after="100" w:before="40" w:line="276"/>
        <w:ind w:left="1440" w:hanging="720"/>
        <w:jc w:val="both"/>
      </w:pPr>
      <w:r>
        <w:rPr>
          <w:rFonts w:ascii="Calibri" w:cs="Calibri" w:eastAsia="Calibri" w:hAnsi="Calibri"/>
          <w:sz w:val="21"/>
          <w:szCs w:val="21"/>
        </w:rPr>
        <w:t xml:space="preserve">(o)	</w:t>
      </w:r>
      <w:r>
        <w:rPr>
          <w:rFonts w:ascii="Calibri" w:cs="Calibri" w:eastAsia="Calibri" w:hAnsi="Calibri"/>
          <w:sz w:val="21"/>
          <w:szCs w:val="21"/>
        </w:rPr>
        <w:t xml:space="preserve">falsification, tampering with or destruction of any record of the establishment; and</w:t>
      </w:r>
    </w:p>
    <w:p>
      <w:pPr>
        <w:spacing w:after="100" w:before="40" w:line="276"/>
        <w:ind w:left="1440" w:hanging="720"/>
        <w:jc w:val="both"/>
      </w:pPr>
      <w:r>
        <w:rPr>
          <w:rFonts w:ascii="Calibri" w:cs="Calibri" w:eastAsia="Calibri" w:hAnsi="Calibri"/>
          <w:sz w:val="21"/>
          <w:szCs w:val="21"/>
        </w:rPr>
        <w:t xml:space="preserve">(p)	</w:t>
      </w:r>
      <w:r>
        <w:rPr>
          <w:rFonts w:ascii="Calibri" w:cs="Calibri" w:eastAsia="Calibri" w:hAnsi="Calibri"/>
          <w:sz w:val="21"/>
          <w:szCs w:val="21"/>
        </w:rPr>
        <w:t xml:space="preserve">conviction of an offence involving moral turpitude.</w:t>
      </w:r>
    </w:p>
    <w:p>
      <w:pPr>
        <w:keepNext/>
        <w:spacing w:after="120" w:before="280"/>
        <w:outlineLvl w:val="0"/>
      </w:pPr>
      <w:r>
        <w:rPr>
          <w:rFonts w:ascii="Calibri" w:cs="Calibri" w:eastAsia="Calibri" w:hAnsi="Calibri"/>
          <w:b/>
          <w:bCs/>
          <w:color w:val="14161B"/>
          <w:sz w:val="22"/>
          <w:szCs w:val="22"/>
        </w:rPr>
        <w:t xml:space="preserve">8. DISCIPLINARY PROCEDURE</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No worker shall be punished for misconduct except after an inquiry conducted in accordance with this Clause.</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A charge sheet setting out the alleged misconduct with specific particulars, including dates and the standing order alleged to have been breached, shall be given to the worker in writing, in a language the worker understands, with a reasonable period of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to reply.</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Where an inquiry is to be held, an Inquiry Officer who has not been involved in the events and is not a witness shall be appointed, and the worker shall be given notice of the date, time and place of the inquiry.</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At the inquiry the worker shall be entitled to be present, to be assisted by a co-worker or, where permitted, by an office-bearer of a registered trade union, to hear the evidence against the worker, to cross-examine witnesses, and to lead evidence in defence. The proceedings shall be recorded and signed.</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The Inquiry Officer shall submit a report recording findings on each charge with reasons based on the evidence, and a copy shall be given to the worker, who shall be given an opportunity to make representations before a penalty is decided.</w:t>
      </w:r>
    </w:p>
    <w:p>
      <w:pPr>
        <w:spacing w:after="120" w:before="60" w:line="276"/>
        <w:ind w:left="720" w:hanging="720"/>
        <w:jc w:val="both"/>
      </w:pPr>
      <w:r>
        <w:rPr>
          <w:rFonts w:ascii="Calibri" w:cs="Calibri" w:eastAsia="Calibri" w:hAnsi="Calibri"/>
          <w:sz w:val="21"/>
          <w:szCs w:val="21"/>
        </w:rPr>
        <w:t xml:space="preserve">8.6	</w:t>
      </w:r>
      <w:r>
        <w:rPr>
          <w:rFonts w:ascii="Calibri" w:cs="Calibri" w:eastAsia="Calibri" w:hAnsi="Calibri"/>
          <w:sz w:val="21"/>
          <w:szCs w:val="21"/>
        </w:rPr>
        <w:t xml:space="preserve">The penalties that may be imposed are: warning or censure; withholding of increment; fine, to the extent and in the manner permitted by law; suspension without wages for a period not exceeding </w:t>
      </w:r>
      <w:r>
        <w:rPr>
          <w:rFonts w:ascii="Calibri" w:cs="Calibri" w:eastAsia="Calibri" w:hAnsi="Calibri"/>
          <w:b/>
          <w:bCs/>
          <w:sz w:val="21"/>
          <w:szCs w:val="21"/>
        </w:rPr>
        <w:t xml:space="preserve">[NUMBER]</w:t>
      </w:r>
      <w:r>
        <w:rPr>
          <w:rFonts w:ascii="Calibri" w:cs="Calibri" w:eastAsia="Calibri" w:hAnsi="Calibri"/>
          <w:sz w:val="21"/>
          <w:szCs w:val="21"/>
        </w:rPr>
        <w:t xml:space="preserve"> days; and dismissal.</w:t>
      </w:r>
    </w:p>
    <w:p>
      <w:pPr>
        <w:spacing w:after="120" w:before="60" w:line="276"/>
        <w:ind w:left="720" w:hanging="720"/>
        <w:jc w:val="both"/>
      </w:pPr>
      <w:r>
        <w:rPr>
          <w:rFonts w:ascii="Calibri" w:cs="Calibri" w:eastAsia="Calibri" w:hAnsi="Calibri"/>
          <w:sz w:val="21"/>
          <w:szCs w:val="21"/>
        </w:rPr>
        <w:t xml:space="preserve">8.7	</w:t>
      </w:r>
      <w:r>
        <w:rPr>
          <w:rFonts w:ascii="Calibri" w:cs="Calibri" w:eastAsia="Calibri" w:hAnsi="Calibri"/>
          <w:sz w:val="21"/>
          <w:szCs w:val="21"/>
        </w:rPr>
        <w:t xml:space="preserve">The penalty shall be proportionate to the misconduct established, having regard to the gravity of the misconduct, the worker’s record and any mitigating circumstance, and the reasons shall be recorded.</w:t>
      </w:r>
    </w:p>
    <w:p>
      <w:pPr>
        <w:spacing w:after="120" w:before="60" w:line="276"/>
        <w:ind w:left="720" w:hanging="720"/>
        <w:jc w:val="both"/>
      </w:pPr>
      <w:r>
        <w:rPr>
          <w:rFonts w:ascii="Calibri" w:cs="Calibri" w:eastAsia="Calibri" w:hAnsi="Calibri"/>
          <w:sz w:val="21"/>
          <w:szCs w:val="21"/>
        </w:rPr>
        <w:t xml:space="preserve">8.8	</w:t>
      </w:r>
      <w:r>
        <w:rPr>
          <w:rFonts w:ascii="Calibri" w:cs="Calibri" w:eastAsia="Calibri" w:hAnsi="Calibri"/>
          <w:b/>
          <w:bCs/>
          <w:sz w:val="21"/>
          <w:szCs w:val="21"/>
        </w:rPr>
        <w:t xml:space="preserve">Suspension pending inquiry</w:t>
      </w:r>
      <w:r>
        <w:rPr>
          <w:rFonts w:ascii="Calibri" w:cs="Calibri" w:eastAsia="Calibri" w:hAnsi="Calibri"/>
          <w:sz w:val="21"/>
          <w:szCs w:val="21"/>
        </w:rPr>
        <w:t xml:space="preserve"> is not a penalty. A worker suspended pending inquiry shall be paid a subsistence allowance at the rate prescribed for the period of suspension, and the inquiry shall be completed as expeditiously as possible.</w:t>
      </w:r>
    </w:p>
    <w:p>
      <w:pPr>
        <w:spacing w:after="120" w:before="60" w:line="276"/>
        <w:ind w:left="720" w:hanging="720"/>
        <w:jc w:val="both"/>
      </w:pPr>
      <w:r>
        <w:rPr>
          <w:rFonts w:ascii="Calibri" w:cs="Calibri" w:eastAsia="Calibri" w:hAnsi="Calibri"/>
          <w:sz w:val="21"/>
          <w:szCs w:val="21"/>
        </w:rPr>
        <w:t xml:space="preserve">8.9	</w:t>
      </w:r>
      <w:r>
        <w:rPr>
          <w:rFonts w:ascii="Calibri" w:cs="Calibri" w:eastAsia="Calibri" w:hAnsi="Calibri"/>
          <w:sz w:val="21"/>
          <w:szCs w:val="21"/>
        </w:rPr>
        <w:t xml:space="preserve">A worker may appeal against a penalty to </w:t>
      </w:r>
      <w:r>
        <w:rPr>
          <w:rFonts w:ascii="Calibri" w:cs="Calibri" w:eastAsia="Calibri" w:hAnsi="Calibri"/>
          <w:b/>
          <w:bCs/>
          <w:sz w:val="21"/>
          <w:szCs w:val="21"/>
        </w:rPr>
        <w:t xml:space="preserve">[DESIGNATION]</w:t>
      </w:r>
      <w:r>
        <w:rPr>
          <w:rFonts w:ascii="Calibri" w:cs="Calibri" w:eastAsia="Calibri" w:hAnsi="Calibri"/>
          <w:sz w:val="21"/>
          <w:szCs w:val="21"/>
        </w:rPr>
        <w:t xml:space="preserve"> within </w:t>
      </w:r>
      <w:r>
        <w:rPr>
          <w:rFonts w:ascii="Calibri" w:cs="Calibri" w:eastAsia="Calibri" w:hAnsi="Calibri"/>
          <w:b/>
          <w:bCs/>
          <w:sz w:val="21"/>
          <w:szCs w:val="21"/>
        </w:rPr>
        <w:t xml:space="preserve">[NUMBER]</w:t>
      </w:r>
      <w:r>
        <w:rPr>
          <w:rFonts w:ascii="Calibri" w:cs="Calibri" w:eastAsia="Calibri" w:hAnsi="Calibri"/>
          <w:sz w:val="21"/>
          <w:szCs w:val="21"/>
        </w:rPr>
        <w:t xml:space="preserve"> days, and the appeal shall be decided by a person senior to the person who imposed the penalty.</w:t>
      </w:r>
    </w:p>
    <w:p>
      <w:pPr>
        <w:spacing w:after="120" w:before="60" w:line="276"/>
        <w:ind w:left="720" w:hanging="720"/>
        <w:jc w:val="both"/>
      </w:pPr>
      <w:r>
        <w:rPr>
          <w:rFonts w:ascii="Calibri" w:cs="Calibri" w:eastAsia="Calibri" w:hAnsi="Calibri"/>
          <w:sz w:val="21"/>
          <w:szCs w:val="21"/>
        </w:rPr>
        <w:t xml:space="preserve">8.10	</w:t>
      </w:r>
      <w:r>
        <w:rPr>
          <w:rFonts w:ascii="Calibri" w:cs="Calibri" w:eastAsia="Calibri" w:hAnsi="Calibri"/>
          <w:sz w:val="21"/>
          <w:szCs w:val="21"/>
        </w:rPr>
        <w:t xml:space="preserve">Where the misconduct alleged is sexual harassment, the inquiry shall be conducted by the Internal Committee under the applicable legislation and not under this Clause, and the penalty recommended by that Committee shall be given effect under Clause 8.6.</w:t>
      </w:r>
    </w:p>
    <w:p>
      <w:pPr>
        <w:keepNext/>
        <w:spacing w:after="120" w:before="280"/>
        <w:outlineLvl w:val="0"/>
      </w:pPr>
      <w:r>
        <w:rPr>
          <w:rFonts w:ascii="Calibri" w:cs="Calibri" w:eastAsia="Calibri" w:hAnsi="Calibri"/>
          <w:b/>
          <w:bCs/>
          <w:color w:val="14161B"/>
          <w:sz w:val="22"/>
          <w:szCs w:val="22"/>
        </w:rPr>
        <w:t xml:space="preserve">9. GRIEVANCE REDRESSAL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A worker having a grievance relating to conditions of work, wages, leave, treatment or any decision affecting the worker may raise it with </w:t>
      </w:r>
      <w:r>
        <w:rPr>
          <w:rFonts w:ascii="Calibri" w:cs="Calibri" w:eastAsia="Calibri" w:hAnsi="Calibri"/>
          <w:b/>
          <w:bCs/>
          <w:sz w:val="21"/>
          <w:szCs w:val="21"/>
        </w:rPr>
        <w:t xml:space="preserve">[DESIGNATION]</w:t>
      </w:r>
      <w:r>
        <w:rPr>
          <w:rFonts w:ascii="Calibri" w:cs="Calibri" w:eastAsia="Calibri" w:hAnsi="Calibri"/>
          <w:sz w:val="21"/>
          <w:szCs w:val="21"/>
        </w:rPr>
        <w:t xml:space="preserve">, orally or in writing.</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The grievance shall be acknowledged and a decision communicated in writing within </w:t>
      </w:r>
      <w:r>
        <w:rPr>
          <w:rFonts w:ascii="Calibri" w:cs="Calibri" w:eastAsia="Calibri" w:hAnsi="Calibri"/>
          <w:b/>
          <w:bCs/>
          <w:sz w:val="21"/>
          <w:szCs w:val="21"/>
        </w:rPr>
        <w:t xml:space="preserve">[NUMBER]</w:t>
      </w:r>
      <w:r>
        <w:rPr>
          <w:rFonts w:ascii="Calibri" w:cs="Calibri" w:eastAsia="Calibri" w:hAnsi="Calibri"/>
          <w:sz w:val="21"/>
          <w:szCs w:val="21"/>
        </w:rPr>
        <w:t xml:space="preserve"> working days, with reasons.</w:t>
      </w:r>
    </w:p>
    <w:p>
      <w:pPr>
        <w:spacing w:after="120" w:before="60" w:line="276"/>
        <w:ind w:left="720" w:hanging="720"/>
        <w:jc w:val="both"/>
      </w:pPr>
      <w:r>
        <w:rPr>
          <w:rFonts w:ascii="Calibri" w:cs="Calibri" w:eastAsia="Calibri" w:hAnsi="Calibri"/>
          <w:sz w:val="21"/>
          <w:szCs w:val="21"/>
        </w:rPr>
        <w:t xml:space="preserve">9.3	</w:t>
      </w:r>
      <w:r>
        <w:rPr>
          <w:rFonts w:ascii="Calibri" w:cs="Calibri" w:eastAsia="Calibri" w:hAnsi="Calibri"/>
          <w:sz w:val="21"/>
          <w:szCs w:val="21"/>
        </w:rPr>
        <w:t xml:space="preserve">A worker dissatisfied with the decision may appeal to </w:t>
      </w:r>
      <w:r>
        <w:rPr>
          <w:rFonts w:ascii="Calibri" w:cs="Calibri" w:eastAsia="Calibri" w:hAnsi="Calibri"/>
          <w:b/>
          <w:bCs/>
          <w:sz w:val="21"/>
          <w:szCs w:val="21"/>
        </w:rPr>
        <w:t xml:space="preserve">[DESIGNATION]</w:t>
      </w:r>
      <w:r>
        <w:rPr>
          <w:rFonts w:ascii="Calibri" w:cs="Calibri" w:eastAsia="Calibri" w:hAnsi="Calibri"/>
          <w:sz w:val="21"/>
          <w:szCs w:val="21"/>
        </w:rPr>
        <w:t xml:space="preserve">, and thereafter may pursue any remedy available under law.</w:t>
      </w:r>
    </w:p>
    <w:p>
      <w:pPr>
        <w:spacing w:after="120" w:before="60" w:line="276"/>
        <w:ind w:left="720" w:hanging="720"/>
        <w:jc w:val="both"/>
      </w:pPr>
      <w:r>
        <w:rPr>
          <w:rFonts w:ascii="Calibri" w:cs="Calibri" w:eastAsia="Calibri" w:hAnsi="Calibri"/>
          <w:sz w:val="21"/>
          <w:szCs w:val="21"/>
        </w:rPr>
        <w:t xml:space="preserve">9.4	</w:t>
      </w:r>
      <w:r>
        <w:rPr>
          <w:rFonts w:ascii="Calibri" w:cs="Calibri" w:eastAsia="Calibri" w:hAnsi="Calibri"/>
          <w:sz w:val="21"/>
          <w:szCs w:val="21"/>
        </w:rPr>
        <w:t xml:space="preserve">No worker shall be treated adversely for raising a grievance in good faith.</w:t>
      </w:r>
    </w:p>
    <w:p>
      <w:pPr>
        <w:keepNext/>
        <w:spacing w:after="120" w:before="280"/>
        <w:outlineLvl w:val="0"/>
      </w:pPr>
      <w:r>
        <w:rPr>
          <w:rFonts w:ascii="Calibri" w:cs="Calibri" w:eastAsia="Calibri" w:hAnsi="Calibri"/>
          <w:b/>
          <w:bCs/>
          <w:color w:val="14161B"/>
          <w:sz w:val="22"/>
          <w:szCs w:val="22"/>
        </w:rPr>
        <w:t xml:space="preserve">10. GENERAL</w:t>
      </w:r>
    </w:p>
    <w:p>
      <w:pPr>
        <w:spacing w:after="120" w:before="60" w:line="276"/>
        <w:ind w:left="720" w:hanging="720"/>
        <w:jc w:val="both"/>
      </w:pPr>
      <w:r>
        <w:rPr>
          <w:rFonts w:ascii="Calibri" w:cs="Calibri" w:eastAsia="Calibri" w:hAnsi="Calibri"/>
          <w:sz w:val="21"/>
          <w:szCs w:val="21"/>
        </w:rPr>
        <w:t xml:space="preserve">10.1	</w:t>
      </w:r>
      <w:r>
        <w:rPr>
          <w:rFonts w:ascii="Calibri" w:cs="Calibri" w:eastAsia="Calibri" w:hAnsi="Calibri"/>
          <w:sz w:val="21"/>
          <w:szCs w:val="21"/>
        </w:rPr>
        <w:t xml:space="preserve">A copy of these standing orders shall be prominently displayed at the establishment in English and in the language understood by the majority of the workers, and a copy shall be furnished to any worker on request.</w:t>
      </w:r>
    </w:p>
    <w:p>
      <w:pPr>
        <w:spacing w:after="120" w:before="60" w:line="276"/>
        <w:ind w:left="720" w:hanging="720"/>
        <w:jc w:val="both"/>
      </w:pPr>
      <w:r>
        <w:rPr>
          <w:rFonts w:ascii="Calibri" w:cs="Calibri" w:eastAsia="Calibri" w:hAnsi="Calibri"/>
          <w:sz w:val="21"/>
          <w:szCs w:val="21"/>
        </w:rPr>
        <w:t xml:space="preserve">10.2	</w:t>
      </w:r>
      <w:r>
        <w:rPr>
          <w:rFonts w:ascii="Calibri" w:cs="Calibri" w:eastAsia="Calibri" w:hAnsi="Calibri"/>
          <w:sz w:val="21"/>
          <w:szCs w:val="21"/>
        </w:rPr>
        <w:t xml:space="preserve">The establishment shall maintain the registers and records required by law, including registers of workers, wages, attendance, leave, fines and deductions.</w:t>
      </w:r>
    </w:p>
    <w:p>
      <w:pPr>
        <w:spacing w:after="120" w:before="60" w:line="276"/>
        <w:ind w:left="720" w:hanging="720"/>
        <w:jc w:val="both"/>
      </w:pPr>
      <w:r>
        <w:rPr>
          <w:rFonts w:ascii="Calibri" w:cs="Calibri" w:eastAsia="Calibri" w:hAnsi="Calibri"/>
          <w:sz w:val="21"/>
          <w:szCs w:val="21"/>
        </w:rPr>
        <w:t xml:space="preserve">10.3	</w:t>
      </w:r>
      <w:r>
        <w:rPr>
          <w:rFonts w:ascii="Calibri" w:cs="Calibri" w:eastAsia="Calibri" w:hAnsi="Calibri"/>
          <w:sz w:val="21"/>
          <w:szCs w:val="21"/>
        </w:rPr>
        <w:t xml:space="preserve">Any modification to these standing orders shall be made only in accordance with the procedure prescribed for modification and certification.</w:t>
      </w:r>
    </w:p>
    <w:p>
      <w:pPr>
        <w:spacing w:after="120" w:before="60" w:line="276"/>
        <w:ind w:left="720" w:hanging="720"/>
        <w:jc w:val="both"/>
      </w:pPr>
      <w:r>
        <w:rPr>
          <w:rFonts w:ascii="Calibri" w:cs="Calibri" w:eastAsia="Calibri" w:hAnsi="Calibri"/>
          <w:sz w:val="21"/>
          <w:szCs w:val="21"/>
        </w:rPr>
        <w:t xml:space="preserve">10.4	</w:t>
      </w:r>
      <w:r>
        <w:rPr>
          <w:rFonts w:ascii="Calibri" w:cs="Calibri" w:eastAsia="Calibri" w:hAnsi="Calibri"/>
          <w:sz w:val="21"/>
          <w:szCs w:val="21"/>
        </w:rPr>
        <w:t xml:space="preserve">Nothing in these standing orders shall be construed to reduce any right or benefit available to a worker under any law, contract, award or settlement more favourable to the worker.</w:t>
      </w:r>
    </w:p>
    <w:p>
      <w:pPr>
        <w:spacing w:after="22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b/>
                <w:bCs/>
                <w:sz w:val="21"/>
                <w:szCs w:val="21"/>
              </w:rPr>
              <w:t xml:space="preserve">[DESIGNATION]</w:t>
            </w:r>
          </w:p>
          <w:p>
            <w:pPr>
              <w:spacing w:after="90" w:line="264"/>
            </w:pPr>
            <w:r>
              <w:rPr>
                <w:rFonts w:ascii="Calibri" w:cs="Calibri" w:eastAsia="Calibri" w:hAnsi="Calibri"/>
                <w:sz w:val="21"/>
                <w:szCs w:val="21"/>
              </w:rPr>
              <w:t xml:space="preserve">For </w:t>
            </w:r>
            <w:r>
              <w:rPr>
                <w:rFonts w:ascii="Calibri" w:cs="Calibri" w:eastAsia="Calibri" w:hAnsi="Calibri"/>
                <w:b/>
                <w:bCs/>
                <w:sz w:val="21"/>
                <w:szCs w:val="21"/>
              </w:rPr>
              <w:t xml:space="preserve">[COMPANY NAME]</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the certifying officer</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Certified on: </w:t>
            </w:r>
            <w:r>
              <w:rPr>
                <w:rFonts w:ascii="Calibri" w:cs="Calibri" w:eastAsia="Calibri" w:hAnsi="Calibri"/>
                <w:b/>
                <w:bCs/>
                <w:sz w:val="21"/>
                <w:szCs w:val="21"/>
              </w:rPr>
              <w:t xml:space="preserve">[DATE]</w:t>
            </w:r>
          </w:p>
          <w:p>
            <w:pPr>
              <w:spacing w:after="90" w:line="264"/>
            </w:pPr>
            <w:r>
              <w:rPr>
                <w:rFonts w:ascii="Calibri" w:cs="Calibri" w:eastAsia="Calibri" w:hAnsi="Calibri"/>
                <w:sz w:val="21"/>
                <w:szCs w:val="21"/>
              </w:rPr>
              <w:t xml:space="preserve">Certificate number: </w:t>
            </w:r>
            <w:r>
              <w:rPr>
                <w:rFonts w:ascii="Calibri" w:cs="Calibri" w:eastAsia="Calibri" w:hAnsi="Calibri"/>
                <w:b/>
                <w:bCs/>
                <w:sz w:val="21"/>
                <w:szCs w:val="21"/>
              </w:rPr>
              <w:t xml:space="preserve">[NUMBER]</w:t>
            </w:r>
          </w:p>
        </w:tc>
      </w:tr>
    </w:tbl>
    <w:p>
      <w:pPr>
        <w:spacing w:after="0" w:before="0" w:line="1"/>
      </w:pPr>
      <w:r>
        <w:br w:type="page"/>
      </w:r>
    </w:p>
    <w:p>
      <w:pPr>
        <w:spacing w:after="240" w:before="240"/>
        <w:jc w:val="center"/>
      </w:pPr>
      <w:r>
        <w:rPr>
          <w:rFonts w:ascii="Calibri" w:cs="Calibri" w:eastAsia="Calibri" w:hAnsi="Calibri"/>
          <w:b/>
          <w:bCs/>
          <w:color w:val="14161B"/>
          <w:spacing w:val="12"/>
          <w:sz w:val="28"/>
          <w:szCs w:val="28"/>
        </w:rPr>
        <w:t xml:space="preserve">CERTIFICATION CHECKLIST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819"/>
        <w:gridCol w:w="2120"/>
        <w:gridCol w:w="1060"/>
        <w:gridCol w:w="115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481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Establish whether the establishment meets the applicability threshold for the number of workers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crossing the threshold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Decide whether to adopt the model standing orders or to submit draft standing orders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submission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Draft standing orders prepared covering every prescribed matter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Before submission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Draft submitted to the certifying officer within the period prescribed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Copy furnished to the trade union or, where there is none, to the workers’ representatives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 the submission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Objections received and heard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directed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Standing orders certified</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Certified copy displayed in English and in the language of the majority of workers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certification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Certified copies furnished to workers on request</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Contracts of employment reviewed for consistency with the certified orders</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certification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Managers and supervisors trained on the disciplinary procedure</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certification</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481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Any modification submitted for certification in the prescribed manner</w:t>
            </w:r>
          </w:p>
        </w:tc>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As required</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c>
          <w:tcPr>
            <w:tcW w:type="dxa" w:w="115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[STATUS]</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Certified standing orders override the contract</w:t>
      </w:r>
    </w:p>
    <w:p>
      <w:pPr>
        <w:spacing w:after="60" w:line="264"/>
        <w:jc w:val="both"/>
      </w:pPr>
      <w:r>
        <w:rPr>
          <w:rFonts w:ascii="Calibri" w:cs="Calibri" w:eastAsia="Calibri" w:hAnsi="Calibri"/>
          <w:sz w:val="19"/>
          <w:szCs w:val="19"/>
        </w:rPr>
        <w:t xml:space="preserve">Once certified, standing orders govern the conditions of service of the workers they cover, and a term in an individual contract inconsistent with them does not prevail. That is why Clause 1.1 states it and why step 10 of the checklist requires contracts to be reviewed. An establishment operating a disciplinary process under its handbook, while certified standing orders say something different, is following the wrong document.</w:t>
      </w:r>
    </w:p>
    <w:p>
      <w:pPr>
        <w:keepNext/>
        <w:spacing w:after="40" w:before="140"/>
      </w:pPr>
      <w:r>
        <w:rPr>
          <w:rFonts w:ascii="Calibri" w:cs="Calibri" w:eastAsia="Calibri" w:hAnsi="Calibri"/>
          <w:b/>
          <w:bCs/>
          <w:color w:val="14161B"/>
          <w:sz w:val="20"/>
          <w:szCs w:val="20"/>
        </w:rPr>
        <w:t xml:space="preserve">Check applicability, and check it again as you grow</w:t>
      </w:r>
    </w:p>
    <w:p>
      <w:pPr>
        <w:spacing w:after="60" w:line="264"/>
        <w:jc w:val="both"/>
      </w:pPr>
      <w:r>
        <w:rPr>
          <w:rFonts w:ascii="Calibri" w:cs="Calibri" w:eastAsia="Calibri" w:hAnsi="Calibri"/>
          <w:sz w:val="19"/>
          <w:szCs w:val="19"/>
        </w:rPr>
        <w:t xml:space="preserve">The obligation arises when the number of workers employed reaches the prescribed threshold. A growing establishment crosses it without noticing, and the obligation to submit draft standing orders for certification runs from that point. Track headcount against the threshold rather than assuming the position is unchanged from incorporation.</w:t>
      </w:r>
    </w:p>
    <w:p>
      <w:pPr>
        <w:keepNext/>
        <w:spacing w:after="40" w:before="140"/>
      </w:pPr>
      <w:r>
        <w:rPr>
          <w:rFonts w:ascii="Calibri" w:cs="Calibri" w:eastAsia="Calibri" w:hAnsi="Calibri"/>
          <w:b/>
          <w:bCs/>
          <w:color w:val="14161B"/>
          <w:sz w:val="20"/>
          <w:szCs w:val="20"/>
        </w:rPr>
        <w:t xml:space="preserve">Model orders or your own</w:t>
      </w:r>
    </w:p>
    <w:p>
      <w:pPr>
        <w:spacing w:after="60" w:line="264"/>
        <w:jc w:val="both"/>
      </w:pPr>
      <w:r>
        <w:rPr>
          <w:rFonts w:ascii="Calibri" w:cs="Calibri" w:eastAsia="Calibri" w:hAnsi="Calibri"/>
          <w:sz w:val="19"/>
          <w:szCs w:val="19"/>
        </w:rPr>
        <w:t xml:space="preserve">An establishment may adopt the model standing orders, in which case they are deemed certified, or may submit its own draft for certification. Adopting the model set is faster and removes the certification process; drafting your own allows the classification of workers, the notice periods and the disciplinary procedure to be tailored. Decide deliberately at step 2 rather than defaulting.</w:t>
      </w:r>
    </w:p>
    <w:p>
      <w:pPr>
        <w:keepNext/>
        <w:spacing w:after="40" w:before="140"/>
      </w:pPr>
      <w:r>
        <w:rPr>
          <w:rFonts w:ascii="Calibri" w:cs="Calibri" w:eastAsia="Calibri" w:hAnsi="Calibri"/>
          <w:b/>
          <w:bCs/>
          <w:color w:val="14161B"/>
          <w:sz w:val="20"/>
          <w:szCs w:val="20"/>
        </w:rPr>
        <w:t xml:space="preserve">The disciplinary procedure is the operative part</w:t>
      </w:r>
    </w:p>
    <w:p>
      <w:pPr>
        <w:spacing w:after="60" w:line="264"/>
        <w:jc w:val="both"/>
      </w:pPr>
      <w:r>
        <w:rPr>
          <w:rFonts w:ascii="Calibri" w:cs="Calibri" w:eastAsia="Calibri" w:hAnsi="Calibri"/>
          <w:sz w:val="19"/>
          <w:szCs w:val="19"/>
        </w:rPr>
        <w:t xml:space="preserve">Clause 8 is what a tribunal will examine when a dismissal is challenged. Specific charges, an independent Inquiry Officer, the right to be assisted, the right to cross-examine, a recorded proceeding, a reasoned report, a copy of that report given before the penalty is decided, proportionality, and an appeal. Terminations are set aside on these points far more often than on the merits of the allegation.</w:t>
      </w:r>
    </w:p>
    <w:p>
      <w:pPr>
        <w:keepNext/>
        <w:spacing w:after="40" w:before="140"/>
      </w:pPr>
      <w:r>
        <w:rPr>
          <w:rFonts w:ascii="Calibri" w:cs="Calibri" w:eastAsia="Calibri" w:hAnsi="Calibri"/>
          <w:b/>
          <w:bCs/>
          <w:color w:val="14161B"/>
          <w:sz w:val="20"/>
          <w:szCs w:val="20"/>
        </w:rPr>
        <w:t xml:space="preserve">Charges must be specific</w:t>
      </w:r>
    </w:p>
    <w:p>
      <w:pPr>
        <w:spacing w:after="60" w:line="264"/>
        <w:jc w:val="both"/>
      </w:pPr>
      <w:r>
        <w:rPr>
          <w:rFonts w:ascii="Calibri" w:cs="Calibri" w:eastAsia="Calibri" w:hAnsi="Calibri"/>
          <w:sz w:val="19"/>
          <w:szCs w:val="19"/>
        </w:rPr>
        <w:t xml:space="preserve">A charge sheet alleging misconduct in general terms, without dates, particulars and the standing order alleged to have been breached, cannot be answered and cannot support a finding. It must also be in a language the worker understands — a charge sheet in English served on a worker who does not read English is a procedural defect.</w:t>
      </w:r>
    </w:p>
    <w:p>
      <w:pPr>
        <w:keepNext/>
        <w:spacing w:after="40" w:before="140"/>
      </w:pPr>
      <w:r>
        <w:rPr>
          <w:rFonts w:ascii="Calibri" w:cs="Calibri" w:eastAsia="Calibri" w:hAnsi="Calibri"/>
          <w:b/>
          <w:bCs/>
          <w:color w:val="14161B"/>
          <w:sz w:val="20"/>
          <w:szCs w:val="20"/>
        </w:rPr>
        <w:t xml:space="preserve">Sexual harassment goes to the Internal Committee</w:t>
      </w:r>
    </w:p>
    <w:p>
      <w:pPr>
        <w:spacing w:after="60" w:line="264"/>
        <w:jc w:val="both"/>
      </w:pPr>
      <w:r>
        <w:rPr>
          <w:rFonts w:ascii="Calibri" w:cs="Calibri" w:eastAsia="Calibri" w:hAnsi="Calibri"/>
          <w:sz w:val="19"/>
          <w:szCs w:val="19"/>
        </w:rPr>
        <w:t xml:space="preserve">Clauses 7.1(k) and 8.10 route it correctly. The inquiry must be conducted by the Internal Committee constituted under the applicable legislation, following its own procedure and timelines, and the standing orders operate only to give effect to the penalty recommended. Conducting a domestic inquiry under the standing orders instead is a serious error.</w:t>
      </w:r>
    </w:p>
    <w:p>
      <w:pPr>
        <w:keepNext/>
        <w:spacing w:after="40" w:before="140"/>
      </w:pPr>
      <w:r>
        <w:rPr>
          <w:rFonts w:ascii="Calibri" w:cs="Calibri" w:eastAsia="Calibri" w:hAnsi="Calibri"/>
          <w:b/>
          <w:bCs/>
          <w:color w:val="14161B"/>
          <w:sz w:val="20"/>
          <w:szCs w:val="20"/>
        </w:rPr>
        <w:t xml:space="preserve">Suspension is not a penalty</w:t>
      </w:r>
    </w:p>
    <w:p>
      <w:pPr>
        <w:spacing w:after="60" w:line="264"/>
        <w:jc w:val="both"/>
      </w:pPr>
      <w:r>
        <w:rPr>
          <w:rFonts w:ascii="Calibri" w:cs="Calibri" w:eastAsia="Calibri" w:hAnsi="Calibri"/>
          <w:sz w:val="19"/>
          <w:szCs w:val="19"/>
        </w:rPr>
        <w:t xml:space="preserve">A worker suspended pending inquiry remains employed and is entitled to a subsistence allowance at the prescribed rate. Suspension used as a punishment, or prolonged while the inquiry goes nowhere, is itself challengeable. Clause 8.8 states both points.</w:t>
      </w:r>
    </w:p>
    <w:p>
      <w:pPr>
        <w:keepNext/>
        <w:spacing w:after="40" w:before="140"/>
      </w:pPr>
      <w:r>
        <w:rPr>
          <w:rFonts w:ascii="Calibri" w:cs="Calibri" w:eastAsia="Calibri" w:hAnsi="Calibri"/>
          <w:b/>
          <w:bCs/>
          <w:color w:val="14161B"/>
          <w:sz w:val="20"/>
          <w:szCs w:val="20"/>
        </w:rPr>
        <w:t xml:space="preserve">Fixed-term workers are entitled to parity</w:t>
      </w:r>
    </w:p>
    <w:p>
      <w:pPr>
        <w:spacing w:after="60" w:line="264"/>
        <w:jc w:val="both"/>
      </w:pPr>
      <w:r>
        <w:rPr>
          <w:rFonts w:ascii="Calibri" w:cs="Calibri" w:eastAsia="Calibri" w:hAnsi="Calibri"/>
          <w:sz w:val="19"/>
          <w:szCs w:val="19"/>
        </w:rPr>
        <w:t xml:space="preserve">A fixed-term worker must receive hours, wages, allowances and benefits not less than a permanent worker doing the same or similar work, and statutory benefits in proportion to service. Clause 2.3 also prohibits using fixed-term engagement to deny permanency. Successive renewals for work of a permanent nature is the practice this addresses.</w:t>
      </w:r>
    </w:p>
    <w:p>
      <w:pPr>
        <w:keepNext/>
        <w:spacing w:after="40" w:before="140"/>
      </w:pPr>
      <w:r>
        <w:rPr>
          <w:rFonts w:ascii="Calibri" w:cs="Calibri" w:eastAsia="Calibri" w:hAnsi="Calibri"/>
          <w:b/>
          <w:bCs/>
          <w:color w:val="14161B"/>
          <w:sz w:val="20"/>
          <w:szCs w:val="20"/>
        </w:rPr>
        <w:t xml:space="preserve">Two working days, and no withholding of the certificate</w:t>
      </w:r>
    </w:p>
    <w:p>
      <w:pPr>
        <w:spacing w:after="60" w:line="264"/>
        <w:jc w:val="both"/>
      </w:pPr>
      <w:r>
        <w:rPr>
          <w:rFonts w:ascii="Calibri" w:cs="Calibri" w:eastAsia="Calibri" w:hAnsi="Calibri"/>
          <w:sz w:val="19"/>
          <w:szCs w:val="19"/>
        </w:rPr>
        <w:t xml:space="preserve">Clauses 3.6 and 6.6 together close the most common exit dispute. Wages must be paid within two working days of termination, and the certificate of service must not be withheld to compel a settlement or to enforce a notice period.</w:t>
      </w:r>
    </w:p>
    <w:p>
      <w:pPr>
        <w:keepNext/>
        <w:spacing w:after="40" w:before="140"/>
      </w:pPr>
      <w:r>
        <w:rPr>
          <w:rFonts w:ascii="Calibri" w:cs="Calibri" w:eastAsia="Calibri" w:hAnsi="Calibri"/>
          <w:b/>
          <w:bCs/>
          <w:color w:val="14161B"/>
          <w:sz w:val="20"/>
          <w:szCs w:val="20"/>
        </w:rPr>
        <w:t xml:space="preserve">Overtime at twice the ordinary rate</w:t>
      </w:r>
    </w:p>
    <w:p>
      <w:pPr>
        <w:spacing w:after="60" w:line="264"/>
        <w:jc w:val="both"/>
      </w:pPr>
      <w:r>
        <w:rPr>
          <w:rFonts w:ascii="Calibri" w:cs="Calibri" w:eastAsia="Calibri" w:hAnsi="Calibri"/>
          <w:sz w:val="19"/>
          <w:szCs w:val="19"/>
        </w:rPr>
        <w:t xml:space="preserve">Clause 3.4 states the statutory position. Establishments that pay a flat allowance for extra hours, or that treat all workers as exempt, carry an accruing exposure. Authorise overtime in advance and record hours.</w:t>
      </w:r>
    </w:p>
    <w:p>
      <w:pPr>
        <w:keepNext/>
        <w:spacing w:after="40" w:before="140"/>
      </w:pPr>
      <w:r>
        <w:rPr>
          <w:rFonts w:ascii="Calibri" w:cs="Calibri" w:eastAsia="Calibri" w:hAnsi="Calibri"/>
          <w:b/>
          <w:bCs/>
          <w:color w:val="14161B"/>
          <w:sz w:val="20"/>
          <w:szCs w:val="20"/>
        </w:rPr>
        <w:t xml:space="preserve">Display and language</w:t>
      </w:r>
    </w:p>
    <w:p>
      <w:pPr>
        <w:spacing w:after="60" w:line="264"/>
        <w:jc w:val="both"/>
      </w:pPr>
      <w:r>
        <w:rPr>
          <w:rFonts w:ascii="Calibri" w:cs="Calibri" w:eastAsia="Calibri" w:hAnsi="Calibri"/>
          <w:sz w:val="19"/>
          <w:szCs w:val="19"/>
        </w:rPr>
        <w:t xml:space="preserve">Certified standing orders must be prominently displayed in English and in the language understood by the majority of workers, and furnished on request. This is checked on inspection and is trivially easy to comply with, yet is one of the most frequent findings.</w:t>
      </w:r>
    </w:p>
    <w:p>
      <w:pPr>
        <w:keepNext/>
        <w:spacing w:after="40" w:before="140"/>
      </w:pPr>
      <w:r>
        <w:rPr>
          <w:rFonts w:ascii="Calibri" w:cs="Calibri" w:eastAsia="Calibri" w:hAnsi="Calibri"/>
          <w:b/>
          <w:bCs/>
          <w:color w:val="14161B"/>
          <w:sz w:val="20"/>
          <w:szCs w:val="20"/>
        </w:rPr>
        <w:t xml:space="preserve">Modification requires certification too</w:t>
      </w:r>
    </w:p>
    <w:p>
      <w:pPr>
        <w:spacing w:after="60" w:line="264"/>
        <w:jc w:val="both"/>
      </w:pPr>
      <w:r>
        <w:rPr>
          <w:rFonts w:ascii="Calibri" w:cs="Calibri" w:eastAsia="Calibri" w:hAnsi="Calibri"/>
          <w:sz w:val="19"/>
          <w:szCs w:val="19"/>
        </w:rPr>
        <w:t xml:space="preserve">Standing orders cannot be amended by internal decision. Any modification follows the prescribed procedure for modification and certification. An establishment that revises its handbook and assumes the standing orders have moved with it has two documents saying different things.</w:t>
      </w:r>
    </w:p>
    <w:p>
      <w:pPr>
        <w:keepNext/>
        <w:spacing w:after="40" w:before="140"/>
      </w:pPr>
      <w:r>
        <w:rPr>
          <w:rFonts w:ascii="Calibri" w:cs="Calibri" w:eastAsia="Calibri" w:hAnsi="Calibri"/>
          <w:b/>
          <w:bCs/>
          <w:color w:val="14161B"/>
          <w:sz w:val="20"/>
          <w:szCs w:val="20"/>
        </w:rPr>
        <w:t xml:space="preserve">Verify your State’s position</w:t>
      </w:r>
    </w:p>
    <w:p>
      <w:pPr>
        <w:spacing w:after="60" w:line="264"/>
        <w:jc w:val="both"/>
      </w:pPr>
      <w:r>
        <w:rPr>
          <w:rFonts w:ascii="Calibri" w:cs="Calibri" w:eastAsia="Calibri" w:hAnsi="Calibri"/>
          <w:sz w:val="19"/>
          <w:szCs w:val="19"/>
        </w:rPr>
        <w:t xml:space="preserve">The applicability threshold, the model standing orders, the prescribed matters, the subsistence allowance rate and the certification procedure are all affected by rules notified separately by each State, and the position is not uniform. Confirm the requirements for the State in which the establishment is situated before submitting.</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Thresholds, model orders, prescribed matters and certification procedure change — have the draft settled by an employment adviser before submission for certification.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2026-08-21T12:53:55.519Z</dcterms:created>
  <dcterms:modified xsi:type="dcterms:W3CDTF">2026-08-21T12:53:55.519Z</dcterms:modified>
</cp:coreProperties>
</file>

<file path=docProps/custom.xml><?xml version="1.0" encoding="utf-8"?>
<Properties xmlns="http://schemas.openxmlformats.org/officeDocument/2006/custom-properties" xmlns:vt="http://schemas.openxmlformats.org/officeDocument/2006/docPropsVTypes"/>
</file>